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2901F" w14:textId="35A3894A" w:rsidR="000C05C8" w:rsidRDefault="00A70B5C" w:rsidP="00A70B5C">
      <w:pPr>
        <w:ind w:left="1416"/>
        <w:rPr>
          <w:b/>
          <w:color w:val="FF0000"/>
        </w:rPr>
      </w:pPr>
      <w:r>
        <w:rPr>
          <w:b/>
          <w:color w:val="FF0000"/>
        </w:rPr>
        <w:t xml:space="preserve">         </w:t>
      </w:r>
      <w:r w:rsidR="009D6192" w:rsidRPr="009D6192">
        <w:rPr>
          <w:b/>
          <w:noProof/>
          <w:color w:val="FF0000"/>
        </w:rPr>
        <w:drawing>
          <wp:inline distT="0" distB="0" distL="0" distR="0" wp14:anchorId="6B908D90" wp14:editId="4F9123EB">
            <wp:extent cx="4061460" cy="1371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61460" cy="1371600"/>
                    </a:xfrm>
                    <a:prstGeom prst="rect">
                      <a:avLst/>
                    </a:prstGeom>
                    <a:noFill/>
                    <a:ln>
                      <a:noFill/>
                    </a:ln>
                  </pic:spPr>
                </pic:pic>
              </a:graphicData>
            </a:graphic>
          </wp:inline>
        </w:drawing>
      </w:r>
    </w:p>
    <w:p w14:paraId="2B82860F" w14:textId="77777777" w:rsidR="000C05C8" w:rsidRDefault="000C05C8">
      <w:pPr>
        <w:rPr>
          <w:b/>
          <w:color w:val="FF0000"/>
        </w:rPr>
      </w:pPr>
    </w:p>
    <w:p w14:paraId="287B52AE" w14:textId="363BF102" w:rsidR="00BD42A5" w:rsidRDefault="009D6192" w:rsidP="00BD42A5">
      <w:pPr>
        <w:pBdr>
          <w:top w:val="single" w:sz="4" w:space="1" w:color="auto"/>
          <w:left w:val="single" w:sz="4" w:space="4" w:color="auto"/>
          <w:bottom w:val="single" w:sz="4" w:space="1" w:color="auto"/>
          <w:right w:val="single" w:sz="4" w:space="4" w:color="auto"/>
        </w:pBdr>
        <w:jc w:val="center"/>
        <w:rPr>
          <w:b/>
          <w:sz w:val="40"/>
          <w:szCs w:val="40"/>
        </w:rPr>
      </w:pPr>
      <w:bookmarkStart w:id="0" w:name="_Hlk111736356"/>
      <w:r w:rsidRPr="009D6192">
        <w:rPr>
          <w:b/>
          <w:sz w:val="40"/>
          <w:szCs w:val="40"/>
        </w:rPr>
        <w:t xml:space="preserve">APPEL A PROJETS </w:t>
      </w:r>
      <w:r w:rsidR="00BD42A5">
        <w:rPr>
          <w:b/>
          <w:sz w:val="40"/>
          <w:szCs w:val="40"/>
        </w:rPr>
        <w:t>Fonds Européen pour les Affaires Maritimes, la Pêche et l’Aquaculture</w:t>
      </w:r>
    </w:p>
    <w:p w14:paraId="19FD2172" w14:textId="6984D8BA" w:rsidR="009D6192" w:rsidRPr="009D6192" w:rsidRDefault="000778C1" w:rsidP="00BD42A5">
      <w:pPr>
        <w:pBdr>
          <w:top w:val="single" w:sz="4" w:space="1" w:color="auto"/>
          <w:left w:val="single" w:sz="4" w:space="4" w:color="auto"/>
          <w:bottom w:val="single" w:sz="4" w:space="1" w:color="auto"/>
          <w:right w:val="single" w:sz="4" w:space="4" w:color="auto"/>
        </w:pBdr>
        <w:jc w:val="center"/>
        <w:rPr>
          <w:b/>
          <w:sz w:val="28"/>
          <w:szCs w:val="28"/>
        </w:rPr>
      </w:pPr>
      <w:r>
        <w:rPr>
          <w:b/>
          <w:sz w:val="28"/>
          <w:szCs w:val="28"/>
        </w:rPr>
        <w:t xml:space="preserve">Priorité 1 : </w:t>
      </w:r>
      <w:bookmarkStart w:id="1" w:name="_Hlk134517321"/>
      <w:r>
        <w:rPr>
          <w:b/>
          <w:sz w:val="28"/>
          <w:szCs w:val="28"/>
        </w:rPr>
        <w:t>Favoriser une pêche durable et la restauration et la conservation des ressources biologiques aquatiques</w:t>
      </w:r>
      <w:bookmarkEnd w:id="1"/>
    </w:p>
    <w:p w14:paraId="368AB1BB" w14:textId="3111E13E" w:rsidR="009D6192" w:rsidRPr="009D6192" w:rsidRDefault="009D6192" w:rsidP="009D6192">
      <w:pPr>
        <w:pBdr>
          <w:top w:val="single" w:sz="4" w:space="1" w:color="auto"/>
          <w:left w:val="single" w:sz="4" w:space="4" w:color="auto"/>
          <w:bottom w:val="single" w:sz="4" w:space="1" w:color="auto"/>
          <w:right w:val="single" w:sz="4" w:space="4" w:color="auto"/>
        </w:pBdr>
        <w:jc w:val="center"/>
        <w:rPr>
          <w:b/>
          <w:bCs/>
          <w:sz w:val="28"/>
          <w:szCs w:val="28"/>
        </w:rPr>
      </w:pPr>
      <w:r>
        <w:rPr>
          <w:b/>
          <w:sz w:val="28"/>
          <w:szCs w:val="28"/>
        </w:rPr>
        <w:t xml:space="preserve">Objectif </w:t>
      </w:r>
      <w:r w:rsidR="00E3645A">
        <w:rPr>
          <w:b/>
          <w:sz w:val="28"/>
          <w:szCs w:val="28"/>
        </w:rPr>
        <w:t xml:space="preserve">Spécifique </w:t>
      </w:r>
      <w:r>
        <w:rPr>
          <w:b/>
          <w:sz w:val="28"/>
          <w:szCs w:val="28"/>
        </w:rPr>
        <w:t>1.</w:t>
      </w:r>
      <w:r w:rsidR="008E084E">
        <w:rPr>
          <w:b/>
          <w:sz w:val="28"/>
          <w:szCs w:val="28"/>
        </w:rPr>
        <w:t>1.</w:t>
      </w:r>
      <w:r w:rsidR="00CD61EA">
        <w:rPr>
          <w:b/>
          <w:sz w:val="28"/>
          <w:szCs w:val="28"/>
        </w:rPr>
        <w:t>1</w:t>
      </w:r>
      <w:r w:rsidR="008E084E">
        <w:rPr>
          <w:b/>
          <w:sz w:val="28"/>
          <w:szCs w:val="28"/>
        </w:rPr>
        <w:t xml:space="preserve"> </w:t>
      </w:r>
      <w:r>
        <w:rPr>
          <w:b/>
          <w:sz w:val="28"/>
          <w:szCs w:val="28"/>
        </w:rPr>
        <w:t xml:space="preserve">: </w:t>
      </w:r>
      <w:r w:rsidR="008E084E">
        <w:rPr>
          <w:b/>
          <w:sz w:val="28"/>
          <w:szCs w:val="28"/>
        </w:rPr>
        <w:t>« </w:t>
      </w:r>
      <w:r w:rsidR="00CD61EA" w:rsidRPr="00CD61EA">
        <w:rPr>
          <w:b/>
          <w:sz w:val="28"/>
          <w:szCs w:val="28"/>
        </w:rPr>
        <w:t>Renforcer les activités de pêche durables sur le plan économique, social et environnemental</w:t>
      </w:r>
      <w:r w:rsidR="00CD61EA">
        <w:rPr>
          <w:b/>
          <w:sz w:val="28"/>
          <w:szCs w:val="28"/>
        </w:rPr>
        <w:t xml:space="preserve"> </w:t>
      </w:r>
      <w:r w:rsidR="008E084E">
        <w:rPr>
          <w:b/>
          <w:bCs/>
          <w:sz w:val="28"/>
          <w:szCs w:val="28"/>
        </w:rPr>
        <w:t>» </w:t>
      </w:r>
    </w:p>
    <w:p w14:paraId="0B544628" w14:textId="6A816439" w:rsidR="009D6192" w:rsidRDefault="0045318B" w:rsidP="009D6192">
      <w:pPr>
        <w:pBdr>
          <w:top w:val="single" w:sz="4" w:space="1" w:color="auto"/>
          <w:left w:val="single" w:sz="4" w:space="4" w:color="auto"/>
          <w:bottom w:val="single" w:sz="4" w:space="1" w:color="auto"/>
          <w:right w:val="single" w:sz="4" w:space="4" w:color="auto"/>
        </w:pBdr>
        <w:jc w:val="center"/>
        <w:rPr>
          <w:b/>
          <w:sz w:val="28"/>
          <w:szCs w:val="28"/>
        </w:rPr>
      </w:pPr>
      <w:r w:rsidRPr="0045318B">
        <w:rPr>
          <w:b/>
          <w:sz w:val="28"/>
          <w:szCs w:val="28"/>
        </w:rPr>
        <w:t>TA. 1.1.1.3</w:t>
      </w:r>
      <w:r>
        <w:rPr>
          <w:b/>
          <w:sz w:val="28"/>
          <w:szCs w:val="28"/>
        </w:rPr>
        <w:t xml:space="preserve"> : </w:t>
      </w:r>
      <w:r w:rsidR="008E084E">
        <w:rPr>
          <w:b/>
          <w:sz w:val="28"/>
          <w:szCs w:val="28"/>
        </w:rPr>
        <w:t>« I</w:t>
      </w:r>
      <w:r w:rsidR="00CA4833">
        <w:rPr>
          <w:b/>
          <w:sz w:val="28"/>
          <w:szCs w:val="28"/>
        </w:rPr>
        <w:t xml:space="preserve">nvestissement dans les ports de pêche </w:t>
      </w:r>
      <w:r w:rsidR="008E084E">
        <w:rPr>
          <w:b/>
          <w:sz w:val="28"/>
          <w:szCs w:val="28"/>
        </w:rPr>
        <w:t xml:space="preserve">» </w:t>
      </w:r>
    </w:p>
    <w:p w14:paraId="565D3A60" w14:textId="25490516" w:rsidR="009D6192" w:rsidRDefault="009D6192" w:rsidP="009D6192">
      <w:pPr>
        <w:pBdr>
          <w:top w:val="single" w:sz="4" w:space="1" w:color="auto"/>
          <w:left w:val="single" w:sz="4" w:space="4" w:color="auto"/>
          <w:bottom w:val="single" w:sz="4" w:space="1" w:color="auto"/>
          <w:right w:val="single" w:sz="4" w:space="4" w:color="auto"/>
        </w:pBdr>
        <w:jc w:val="center"/>
        <w:rPr>
          <w:b/>
          <w:sz w:val="28"/>
          <w:szCs w:val="28"/>
        </w:rPr>
      </w:pPr>
    </w:p>
    <w:p w14:paraId="44602FD4" w14:textId="3917B65A" w:rsidR="000C05C8" w:rsidRDefault="000C05C8" w:rsidP="000C05C8">
      <w:pPr>
        <w:jc w:val="center"/>
        <w:rPr>
          <w:b/>
          <w:sz w:val="28"/>
          <w:szCs w:val="28"/>
        </w:rPr>
      </w:pPr>
    </w:p>
    <w:p w14:paraId="71AA500A" w14:textId="0DA26A4D" w:rsidR="000C05C8" w:rsidRPr="0067427D" w:rsidRDefault="0067427D" w:rsidP="0067427D">
      <w:pPr>
        <w:jc w:val="center"/>
        <w:rPr>
          <w:b/>
          <w:sz w:val="24"/>
          <w:szCs w:val="24"/>
        </w:rPr>
      </w:pPr>
      <w:r w:rsidRPr="0067427D">
        <w:rPr>
          <w:b/>
          <w:sz w:val="24"/>
          <w:szCs w:val="24"/>
        </w:rPr>
        <w:t>Dépôt des candidature</w:t>
      </w:r>
      <w:r w:rsidR="005568C8">
        <w:rPr>
          <w:b/>
          <w:sz w:val="24"/>
          <w:szCs w:val="24"/>
        </w:rPr>
        <w:t>s</w:t>
      </w:r>
      <w:r w:rsidRPr="0067427D">
        <w:rPr>
          <w:b/>
          <w:sz w:val="24"/>
          <w:szCs w:val="24"/>
        </w:rPr>
        <w:t> :</w:t>
      </w:r>
    </w:p>
    <w:p w14:paraId="5D9451D3" w14:textId="7B7B3765" w:rsidR="0067427D" w:rsidRPr="0067427D" w:rsidRDefault="0067427D" w:rsidP="0067427D">
      <w:pPr>
        <w:jc w:val="center"/>
        <w:rPr>
          <w:b/>
          <w:sz w:val="28"/>
          <w:szCs w:val="28"/>
        </w:rPr>
      </w:pPr>
      <w:r w:rsidRPr="0067427D">
        <w:rPr>
          <w:b/>
          <w:sz w:val="24"/>
          <w:szCs w:val="24"/>
        </w:rPr>
        <w:t>Les dates limites de dépôt sont consultables sur le site</w:t>
      </w:r>
      <w:r w:rsidR="00573A8D">
        <w:rPr>
          <w:b/>
          <w:sz w:val="24"/>
          <w:szCs w:val="24"/>
        </w:rPr>
        <w:t> :</w:t>
      </w:r>
      <w:r w:rsidRPr="0067427D">
        <w:rPr>
          <w:b/>
          <w:sz w:val="24"/>
          <w:szCs w:val="24"/>
        </w:rPr>
        <w:t xml:space="preserve"> </w:t>
      </w:r>
      <w:bookmarkStart w:id="2" w:name="_Hlk135735589"/>
      <w:r w:rsidR="00573A8D">
        <w:rPr>
          <w:b/>
          <w:sz w:val="24"/>
          <w:szCs w:val="24"/>
        </w:rPr>
        <w:fldChar w:fldCharType="begin"/>
      </w:r>
      <w:r w:rsidR="00573A8D">
        <w:rPr>
          <w:b/>
          <w:sz w:val="24"/>
          <w:szCs w:val="24"/>
        </w:rPr>
        <w:instrText xml:space="preserve"> HYPERLINK "https://europe.maregionsud.fr/projets" </w:instrText>
      </w:r>
      <w:r w:rsidR="00573A8D">
        <w:rPr>
          <w:b/>
          <w:sz w:val="24"/>
          <w:szCs w:val="24"/>
        </w:rPr>
        <w:fldChar w:fldCharType="separate"/>
      </w:r>
      <w:r w:rsidR="00573A8D" w:rsidRPr="00804B85">
        <w:rPr>
          <w:rStyle w:val="Lienhypertexte"/>
          <w:b/>
          <w:sz w:val="24"/>
          <w:szCs w:val="24"/>
        </w:rPr>
        <w:t>https://europe.maregionsud.fr/projets</w:t>
      </w:r>
      <w:r w:rsidR="00573A8D">
        <w:rPr>
          <w:b/>
          <w:sz w:val="24"/>
          <w:szCs w:val="24"/>
        </w:rPr>
        <w:fldChar w:fldCharType="end"/>
      </w:r>
      <w:bookmarkEnd w:id="2"/>
    </w:p>
    <w:p w14:paraId="7F1DE553" w14:textId="748C4C16" w:rsidR="00475D56" w:rsidRPr="00475D56" w:rsidRDefault="0067427D" w:rsidP="002B4E41">
      <w:pPr>
        <w:jc w:val="center"/>
        <w:rPr>
          <w:b/>
          <w:color w:val="FF0000"/>
          <w:sz w:val="24"/>
          <w:szCs w:val="24"/>
          <w:u w:val="single"/>
        </w:rPr>
      </w:pPr>
      <w:r w:rsidRPr="0067427D">
        <w:rPr>
          <w:b/>
          <w:sz w:val="24"/>
          <w:szCs w:val="24"/>
          <w:u w:val="single"/>
        </w:rPr>
        <w:t>Codification E-synergie</w:t>
      </w:r>
    </w:p>
    <w:tbl>
      <w:tblPr>
        <w:tblW w:w="10830"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212"/>
        <w:gridCol w:w="7618"/>
      </w:tblGrid>
      <w:tr w:rsidR="00475D56" w:rsidRPr="00475D56" w14:paraId="1F27FDD6" w14:textId="77777777" w:rsidTr="002B4E41">
        <w:trPr>
          <w:trHeight w:val="120"/>
        </w:trPr>
        <w:tc>
          <w:tcPr>
            <w:tcW w:w="3227" w:type="dxa"/>
            <w:tcBorders>
              <w:top w:val="none" w:sz="6" w:space="0" w:color="auto"/>
              <w:bottom w:val="none" w:sz="6" w:space="0" w:color="auto"/>
              <w:right w:val="none" w:sz="6" w:space="0" w:color="auto"/>
            </w:tcBorders>
          </w:tcPr>
          <w:p w14:paraId="38F3A268" w14:textId="25E21074" w:rsidR="00475D56" w:rsidRPr="00475D56" w:rsidRDefault="00475D56" w:rsidP="00475D56">
            <w:pPr>
              <w:rPr>
                <w:bCs/>
                <w:sz w:val="20"/>
                <w:szCs w:val="20"/>
              </w:rPr>
            </w:pPr>
            <w:r w:rsidRPr="00475D56">
              <w:rPr>
                <w:bCs/>
                <w:sz w:val="20"/>
                <w:szCs w:val="20"/>
              </w:rPr>
              <w:t xml:space="preserve"> Territoire</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75AA3E61" w14:textId="45E7BAAD" w:rsidR="00475D56" w:rsidRPr="00475D56" w:rsidRDefault="00E96FC4" w:rsidP="00475D56">
            <w:pPr>
              <w:rPr>
                <w:bCs/>
                <w:sz w:val="20"/>
                <w:szCs w:val="20"/>
              </w:rPr>
            </w:pPr>
            <w:r w:rsidRPr="004B7E99">
              <w:rPr>
                <w:bCs/>
                <w:i/>
                <w:iCs/>
                <w:sz w:val="20"/>
                <w:szCs w:val="20"/>
              </w:rPr>
              <w:t>Région SUD </w:t>
            </w:r>
            <w:r w:rsidR="00475D56" w:rsidRPr="004B7E99">
              <w:rPr>
                <w:bCs/>
                <w:i/>
                <w:iCs/>
                <w:sz w:val="20"/>
                <w:szCs w:val="20"/>
              </w:rPr>
              <w:t xml:space="preserve"> </w:t>
            </w:r>
          </w:p>
        </w:tc>
      </w:tr>
      <w:tr w:rsidR="00475D56" w:rsidRPr="00475D56" w14:paraId="3D1B3128" w14:textId="77777777" w:rsidTr="002B4E41">
        <w:trPr>
          <w:trHeight w:val="290"/>
        </w:trPr>
        <w:tc>
          <w:tcPr>
            <w:tcW w:w="3227" w:type="dxa"/>
            <w:tcBorders>
              <w:top w:val="none" w:sz="6" w:space="0" w:color="auto"/>
              <w:bottom w:val="none" w:sz="6" w:space="0" w:color="auto"/>
              <w:right w:val="none" w:sz="6" w:space="0" w:color="auto"/>
            </w:tcBorders>
          </w:tcPr>
          <w:p w14:paraId="53549FD3" w14:textId="77777777" w:rsidR="00475D56" w:rsidRDefault="00475D56" w:rsidP="00475D56">
            <w:pPr>
              <w:rPr>
                <w:bCs/>
                <w:sz w:val="20"/>
                <w:szCs w:val="20"/>
              </w:rPr>
            </w:pPr>
            <w:r w:rsidRPr="00475D56">
              <w:rPr>
                <w:bCs/>
                <w:sz w:val="20"/>
                <w:szCs w:val="20"/>
              </w:rPr>
              <w:t>Programme</w:t>
            </w:r>
            <w:r w:rsidR="00CC3C6B">
              <w:rPr>
                <w:bCs/>
                <w:sz w:val="20"/>
                <w:szCs w:val="20"/>
              </w:rPr>
              <w:t> :</w:t>
            </w:r>
          </w:p>
          <w:p w14:paraId="5C41B21D" w14:textId="5D990535" w:rsidR="00EB4C33" w:rsidRPr="00475D56" w:rsidRDefault="00EB4C33" w:rsidP="00475D56">
            <w:pPr>
              <w:rPr>
                <w:bCs/>
                <w:sz w:val="20"/>
                <w:szCs w:val="20"/>
              </w:rPr>
            </w:pPr>
            <w:r w:rsidRPr="00475D56">
              <w:rPr>
                <w:bCs/>
                <w:sz w:val="20"/>
                <w:szCs w:val="20"/>
              </w:rPr>
              <w:t>Appel à projets</w:t>
            </w:r>
            <w:r>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5A51CCBB" w14:textId="77777777" w:rsidR="00475D56" w:rsidRDefault="00475D56" w:rsidP="00475D56">
            <w:pPr>
              <w:rPr>
                <w:bCs/>
                <w:i/>
                <w:iCs/>
                <w:sz w:val="20"/>
                <w:szCs w:val="20"/>
              </w:rPr>
            </w:pPr>
            <w:r w:rsidRPr="00475D56">
              <w:rPr>
                <w:bCs/>
                <w:i/>
                <w:iCs/>
                <w:sz w:val="20"/>
                <w:szCs w:val="20"/>
              </w:rPr>
              <w:t xml:space="preserve">Programme </w:t>
            </w:r>
            <w:r w:rsidR="00E96FC4">
              <w:rPr>
                <w:bCs/>
                <w:i/>
                <w:iCs/>
                <w:sz w:val="20"/>
                <w:szCs w:val="20"/>
              </w:rPr>
              <w:t>national FEAMPA Région SUD 2021/2027</w:t>
            </w:r>
          </w:p>
          <w:p w14:paraId="5F5AE54A" w14:textId="65F86B7C" w:rsidR="00EB4C33" w:rsidRPr="00475D56" w:rsidRDefault="00BD62B6" w:rsidP="00475D56">
            <w:pPr>
              <w:rPr>
                <w:bCs/>
                <w:sz w:val="20"/>
                <w:szCs w:val="20"/>
              </w:rPr>
            </w:pPr>
            <w:r>
              <w:rPr>
                <w:bCs/>
                <w:i/>
                <w:iCs/>
                <w:sz w:val="20"/>
                <w:szCs w:val="20"/>
              </w:rPr>
              <w:t xml:space="preserve">125 – « Investissement dans les ports de pêche » </w:t>
            </w:r>
          </w:p>
        </w:tc>
      </w:tr>
      <w:tr w:rsidR="00475D56" w:rsidRPr="00475D56" w14:paraId="58F0F5FB" w14:textId="77777777" w:rsidTr="002B4E41">
        <w:trPr>
          <w:trHeight w:val="122"/>
        </w:trPr>
        <w:tc>
          <w:tcPr>
            <w:tcW w:w="3227" w:type="dxa"/>
            <w:tcBorders>
              <w:top w:val="none" w:sz="6" w:space="0" w:color="auto"/>
              <w:bottom w:val="none" w:sz="6" w:space="0" w:color="auto"/>
              <w:right w:val="none" w:sz="6" w:space="0" w:color="auto"/>
            </w:tcBorders>
          </w:tcPr>
          <w:p w14:paraId="5739AD3D" w14:textId="317827F4" w:rsidR="00475D56" w:rsidRPr="00475D56" w:rsidRDefault="00475D56" w:rsidP="00475D56">
            <w:pPr>
              <w:rPr>
                <w:bCs/>
                <w:sz w:val="20"/>
                <w:szCs w:val="20"/>
              </w:rPr>
            </w:pPr>
            <w:r w:rsidRPr="00475D56">
              <w:rPr>
                <w:bCs/>
                <w:sz w:val="20"/>
                <w:szCs w:val="20"/>
              </w:rPr>
              <w:t>Codification</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5AB7D19A" w14:textId="1A689B03" w:rsidR="00475D56" w:rsidRPr="00E96FC4" w:rsidRDefault="0045318B" w:rsidP="00475D56">
            <w:pPr>
              <w:rPr>
                <w:bCs/>
                <w:i/>
                <w:iCs/>
                <w:sz w:val="20"/>
                <w:szCs w:val="20"/>
              </w:rPr>
            </w:pPr>
            <w:r w:rsidRPr="0045318B">
              <w:rPr>
                <w:bCs/>
                <w:i/>
                <w:iCs/>
                <w:sz w:val="20"/>
                <w:szCs w:val="20"/>
              </w:rPr>
              <w:t xml:space="preserve">PR.1 - OS 1.1.1 – </w:t>
            </w:r>
            <w:bookmarkStart w:id="3" w:name="_Hlk138430457"/>
            <w:r w:rsidRPr="0045318B">
              <w:rPr>
                <w:bCs/>
                <w:i/>
                <w:iCs/>
                <w:sz w:val="20"/>
                <w:szCs w:val="20"/>
              </w:rPr>
              <w:t xml:space="preserve">TA. 1.1.1.3 </w:t>
            </w:r>
            <w:bookmarkEnd w:id="3"/>
            <w:r w:rsidRPr="0045318B">
              <w:rPr>
                <w:bCs/>
                <w:i/>
                <w:iCs/>
                <w:sz w:val="20"/>
                <w:szCs w:val="20"/>
              </w:rPr>
              <w:t>:</w:t>
            </w:r>
            <w:r>
              <w:rPr>
                <w:bCs/>
                <w:i/>
                <w:iCs/>
                <w:sz w:val="20"/>
                <w:szCs w:val="20"/>
              </w:rPr>
              <w:t xml:space="preserve"> </w:t>
            </w:r>
            <w:r w:rsidRPr="0045318B">
              <w:rPr>
                <w:bCs/>
                <w:i/>
                <w:iCs/>
                <w:sz w:val="20"/>
                <w:szCs w:val="20"/>
              </w:rPr>
              <w:t>Investissement dans les ports de pêche</w:t>
            </w:r>
          </w:p>
        </w:tc>
      </w:tr>
      <w:tr w:rsidR="00475D56" w:rsidRPr="00475D56" w14:paraId="2AAF4322" w14:textId="77777777" w:rsidTr="002B4E41">
        <w:trPr>
          <w:trHeight w:val="367"/>
        </w:trPr>
        <w:tc>
          <w:tcPr>
            <w:tcW w:w="3227" w:type="dxa"/>
            <w:tcBorders>
              <w:top w:val="none" w:sz="6" w:space="0" w:color="auto"/>
              <w:bottom w:val="none" w:sz="6" w:space="0" w:color="auto"/>
              <w:right w:val="none" w:sz="6" w:space="0" w:color="auto"/>
            </w:tcBorders>
          </w:tcPr>
          <w:p w14:paraId="2F1993BF" w14:textId="56285577" w:rsidR="00475D56" w:rsidRPr="00475D56" w:rsidRDefault="00475D56" w:rsidP="00475D56">
            <w:pPr>
              <w:rPr>
                <w:bCs/>
                <w:sz w:val="20"/>
                <w:szCs w:val="20"/>
              </w:rPr>
            </w:pPr>
            <w:r w:rsidRPr="00475D56">
              <w:rPr>
                <w:bCs/>
                <w:sz w:val="20"/>
                <w:szCs w:val="20"/>
              </w:rPr>
              <w:t>Service Guichet</w:t>
            </w:r>
            <w:r w:rsidR="00CC3C6B">
              <w:rPr>
                <w:bCs/>
                <w:sz w:val="20"/>
                <w:szCs w:val="20"/>
              </w:rPr>
              <w:t> :</w:t>
            </w:r>
          </w:p>
        </w:tc>
        <w:tc>
          <w:tcPr>
            <w:tcW w:w="7654" w:type="dxa"/>
            <w:tcBorders>
              <w:top w:val="none" w:sz="6" w:space="0" w:color="auto"/>
              <w:left w:val="none" w:sz="6" w:space="0" w:color="auto"/>
              <w:bottom w:val="none" w:sz="6" w:space="0" w:color="auto"/>
            </w:tcBorders>
            <w:shd w:val="clear" w:color="auto" w:fill="D0CECE" w:themeFill="background2" w:themeFillShade="E6"/>
          </w:tcPr>
          <w:p w14:paraId="0345E001" w14:textId="35BFD3AD" w:rsidR="00475D56" w:rsidRPr="00E96FC4" w:rsidRDefault="00E96FC4" w:rsidP="00475D56">
            <w:pPr>
              <w:rPr>
                <w:bCs/>
                <w:i/>
                <w:iCs/>
                <w:sz w:val="20"/>
                <w:szCs w:val="20"/>
              </w:rPr>
            </w:pPr>
            <w:r w:rsidRPr="00E96FC4">
              <w:rPr>
                <w:bCs/>
                <w:i/>
                <w:iCs/>
                <w:sz w:val="20"/>
                <w:szCs w:val="20"/>
              </w:rPr>
              <w:t>Région SUD S</w:t>
            </w:r>
            <w:r w:rsidR="00EB4C33">
              <w:rPr>
                <w:bCs/>
                <w:i/>
                <w:iCs/>
                <w:sz w:val="20"/>
                <w:szCs w:val="20"/>
              </w:rPr>
              <w:t xml:space="preserve">ervice </w:t>
            </w:r>
            <w:r w:rsidRPr="00E96FC4">
              <w:rPr>
                <w:bCs/>
                <w:i/>
                <w:iCs/>
                <w:sz w:val="20"/>
                <w:szCs w:val="20"/>
              </w:rPr>
              <w:t>M</w:t>
            </w:r>
            <w:r w:rsidR="00EB4C33">
              <w:rPr>
                <w:bCs/>
                <w:i/>
                <w:iCs/>
                <w:sz w:val="20"/>
                <w:szCs w:val="20"/>
              </w:rPr>
              <w:t>er</w:t>
            </w:r>
            <w:r w:rsidRPr="00E96FC4">
              <w:rPr>
                <w:bCs/>
                <w:i/>
                <w:iCs/>
                <w:sz w:val="20"/>
                <w:szCs w:val="20"/>
              </w:rPr>
              <w:t xml:space="preserve"> </w:t>
            </w:r>
          </w:p>
        </w:tc>
      </w:tr>
      <w:tr w:rsidR="00475D56" w:rsidRPr="00475D56" w14:paraId="6D67A63D" w14:textId="77777777" w:rsidTr="002B4E41">
        <w:trPr>
          <w:trHeight w:val="74"/>
        </w:trPr>
        <w:tc>
          <w:tcPr>
            <w:tcW w:w="3175" w:type="dxa"/>
            <w:tcBorders>
              <w:top w:val="none" w:sz="6" w:space="0" w:color="auto"/>
              <w:bottom w:val="none" w:sz="6" w:space="0" w:color="auto"/>
              <w:right w:val="none" w:sz="6" w:space="0" w:color="auto"/>
            </w:tcBorders>
          </w:tcPr>
          <w:p w14:paraId="20AF2EBF" w14:textId="33C66838" w:rsidR="00475D56" w:rsidRPr="00475D56" w:rsidRDefault="00475D56" w:rsidP="00475D56">
            <w:pPr>
              <w:rPr>
                <w:bCs/>
                <w:sz w:val="20"/>
                <w:szCs w:val="20"/>
              </w:rPr>
            </w:pPr>
          </w:p>
        </w:tc>
        <w:tc>
          <w:tcPr>
            <w:tcW w:w="7654" w:type="dxa"/>
            <w:tcBorders>
              <w:top w:val="none" w:sz="6" w:space="0" w:color="auto"/>
              <w:left w:val="none" w:sz="6" w:space="0" w:color="auto"/>
              <w:bottom w:val="none" w:sz="6" w:space="0" w:color="auto"/>
            </w:tcBorders>
            <w:shd w:val="clear" w:color="auto" w:fill="D0CECE" w:themeFill="background2" w:themeFillShade="E6"/>
          </w:tcPr>
          <w:p w14:paraId="7BA11320" w14:textId="58DBFFE2" w:rsidR="00475D56" w:rsidRPr="00E96FC4" w:rsidRDefault="00475D56" w:rsidP="00475D56">
            <w:pPr>
              <w:rPr>
                <w:bCs/>
                <w:i/>
                <w:iCs/>
                <w:sz w:val="20"/>
                <w:szCs w:val="20"/>
              </w:rPr>
            </w:pPr>
          </w:p>
        </w:tc>
      </w:tr>
    </w:tbl>
    <w:p w14:paraId="30A7B0A7" w14:textId="42F8562E" w:rsidR="002834A8" w:rsidRPr="0067427D" w:rsidRDefault="002834A8">
      <w:pPr>
        <w:rPr>
          <w:b/>
          <w:color w:val="FF0000"/>
          <w:sz w:val="24"/>
          <w:szCs w:val="24"/>
        </w:rPr>
      </w:pPr>
    </w:p>
    <w:p w14:paraId="4C0EFFEC" w14:textId="77777777" w:rsidR="0067427D" w:rsidRPr="0067427D" w:rsidRDefault="0067427D">
      <w:pPr>
        <w:rPr>
          <w:b/>
          <w:color w:val="FF0000"/>
          <w:sz w:val="24"/>
          <w:szCs w:val="24"/>
        </w:rPr>
      </w:pPr>
    </w:p>
    <w:p w14:paraId="63DC2984" w14:textId="103188AB" w:rsidR="002834A8" w:rsidRPr="0067427D" w:rsidRDefault="002834A8">
      <w:pPr>
        <w:rPr>
          <w:b/>
          <w:color w:val="FF0000"/>
          <w:sz w:val="24"/>
          <w:szCs w:val="24"/>
        </w:rPr>
      </w:pPr>
    </w:p>
    <w:p w14:paraId="5754C82F" w14:textId="3D7879DC" w:rsidR="002834A8" w:rsidRDefault="002834A8">
      <w:pPr>
        <w:rPr>
          <w:b/>
          <w:color w:val="FF0000"/>
        </w:rPr>
      </w:pPr>
    </w:p>
    <w:p w14:paraId="51E7C26A" w14:textId="525B501A" w:rsidR="000965EE" w:rsidRDefault="000965EE">
      <w:pPr>
        <w:rPr>
          <w:b/>
          <w:color w:val="FF0000"/>
        </w:rPr>
      </w:pPr>
    </w:p>
    <w:p w14:paraId="141CE46B" w14:textId="77777777" w:rsidR="006C2903" w:rsidRDefault="006C2903">
      <w:pPr>
        <w:rPr>
          <w:b/>
          <w:color w:val="FF0000"/>
        </w:rPr>
      </w:pPr>
    </w:p>
    <w:p w14:paraId="61169552" w14:textId="77777777" w:rsidR="000965EE" w:rsidRDefault="000965EE">
      <w:pPr>
        <w:rPr>
          <w:b/>
          <w:color w:val="FF0000"/>
        </w:rPr>
      </w:pPr>
    </w:p>
    <w:p w14:paraId="48384AA2" w14:textId="32940FA8" w:rsidR="002834A8" w:rsidRDefault="002834A8">
      <w:pPr>
        <w:rPr>
          <w:b/>
          <w:color w:val="FF0000"/>
        </w:rPr>
      </w:pPr>
    </w:p>
    <w:bookmarkEnd w:id="0"/>
    <w:p w14:paraId="7D8C8431" w14:textId="209DCB3C" w:rsidR="006C1481" w:rsidRPr="002C29B9" w:rsidRDefault="008D404B" w:rsidP="002C29B9">
      <w:pPr>
        <w:pStyle w:val="Paragraphedeliste"/>
        <w:suppressAutoHyphens/>
        <w:autoSpaceDN w:val="0"/>
        <w:spacing w:after="120" w:line="240" w:lineRule="auto"/>
        <w:ind w:left="0" w:firstLine="708"/>
        <w:contextualSpacing w:val="0"/>
        <w:textAlignment w:val="baseline"/>
        <w:rPr>
          <w:rFonts w:ascii="Calibri" w:eastAsia="Calibri" w:hAnsi="Calibri" w:cs="Times New Roman"/>
          <w:b/>
          <w:bCs/>
          <w:sz w:val="32"/>
          <w:szCs w:val="32"/>
        </w:rPr>
      </w:pPr>
      <w:r w:rsidRPr="00CD3EDB">
        <w:rPr>
          <w:rFonts w:ascii="Calibri" w:eastAsia="Calibri" w:hAnsi="Calibri" w:cs="Times New Roman"/>
          <w:b/>
          <w:bCs/>
          <w:sz w:val="32"/>
          <w:szCs w:val="32"/>
        </w:rPr>
        <w:t xml:space="preserve">1. </w:t>
      </w:r>
      <w:r w:rsidR="00444D7C" w:rsidRPr="00CD3EDB">
        <w:rPr>
          <w:rFonts w:ascii="Calibri" w:eastAsia="Calibri" w:hAnsi="Calibri" w:cs="Times New Roman"/>
          <w:b/>
          <w:bCs/>
          <w:sz w:val="32"/>
          <w:szCs w:val="32"/>
        </w:rPr>
        <w:t>Contexte</w:t>
      </w:r>
      <w:r w:rsidR="00444D7C" w:rsidRPr="002C29B9">
        <w:rPr>
          <w:rFonts w:ascii="Calibri" w:eastAsia="Calibri" w:hAnsi="Calibri" w:cs="Times New Roman"/>
          <w:b/>
          <w:bCs/>
          <w:sz w:val="32"/>
          <w:szCs w:val="32"/>
        </w:rPr>
        <w:t> </w:t>
      </w:r>
    </w:p>
    <w:p w14:paraId="7848DC61" w14:textId="77777777" w:rsidR="00B059E8" w:rsidRPr="0013001B" w:rsidRDefault="00B059E8" w:rsidP="0013001B">
      <w:pPr>
        <w:spacing w:after="0" w:line="240" w:lineRule="auto"/>
        <w:jc w:val="both"/>
        <w:rPr>
          <w:rFonts w:ascii="Calibri" w:eastAsia="Calibri" w:hAnsi="Calibri" w:cs="Times New Roman"/>
          <w:sz w:val="16"/>
          <w:szCs w:val="16"/>
        </w:rPr>
      </w:pPr>
    </w:p>
    <w:p w14:paraId="77EDD578" w14:textId="77777777" w:rsidR="00460E97" w:rsidRPr="00460E97" w:rsidRDefault="00460E97" w:rsidP="00460E97">
      <w:pPr>
        <w:spacing w:after="120" w:line="240" w:lineRule="auto"/>
        <w:jc w:val="both"/>
        <w:rPr>
          <w:sz w:val="24"/>
          <w:szCs w:val="24"/>
        </w:rPr>
      </w:pPr>
      <w:bookmarkStart w:id="4" w:name="_Hlk135750164"/>
      <w:r w:rsidRPr="00460E97">
        <w:rPr>
          <w:sz w:val="24"/>
          <w:szCs w:val="24"/>
        </w:rPr>
        <w:t>L’objectif spécifique 1.1. du FEAMPA contribue à l’atteinte des objectifs de la Politique Commune des Pêches en assurant la viabilité économique et la durabilité environnementale des entreprises des pêche, des infrastructures et équipements collectifs dont elles ont l’usage, la préservation des ressources à travers le respect des rendements maximum durables, la mise en œuvre de gestion des pêcheries basées sur des approches écosystémiques, en évitant la dégradation de l’environnement marin par les activités de pêche et d’aquaculture, en éliminant graduellement les rejets via la réduction et le débarquement des captures non désirées.</w:t>
      </w:r>
    </w:p>
    <w:p w14:paraId="7A234CD6" w14:textId="77777777" w:rsidR="00460E97" w:rsidRPr="00460E97" w:rsidRDefault="00460E97" w:rsidP="00460E97">
      <w:pPr>
        <w:spacing w:after="120" w:line="240" w:lineRule="auto"/>
        <w:jc w:val="both"/>
        <w:rPr>
          <w:sz w:val="24"/>
          <w:szCs w:val="24"/>
        </w:rPr>
      </w:pPr>
      <w:r w:rsidRPr="00460E97">
        <w:rPr>
          <w:sz w:val="24"/>
          <w:szCs w:val="24"/>
        </w:rPr>
        <w:t xml:space="preserve">Comme pour la précédente programmation 2014/2020, la Direction Générale des Affaires Maritimes, de la Pêche et de l’Aquaculture (DGAMPA) reste l’autorité de gestion du programme FEAMPA pour la période 2021-2027, les Régions pouvant se positionner sur la mise en œuvre de tout ou partie de certains objectifs stratégiques en tant qu’organismes intermédiaires. C’est le choix qu’a fait la Région Provence-Alpes-Côte d’Azur sur l’OS 1.1. </w:t>
      </w:r>
      <w:proofErr w:type="gramStart"/>
      <w:r w:rsidRPr="00460E97">
        <w:rPr>
          <w:sz w:val="24"/>
          <w:szCs w:val="24"/>
        </w:rPr>
        <w:t>qui</w:t>
      </w:r>
      <w:proofErr w:type="gramEnd"/>
      <w:r w:rsidRPr="00460E97">
        <w:rPr>
          <w:sz w:val="24"/>
          <w:szCs w:val="24"/>
        </w:rPr>
        <w:t xml:space="preserve"> sera pourvu d’une enveloppe de crédits FEAMPA de 1 377 358,49 €, qui seront répartis suivant deux sous objectifs :</w:t>
      </w:r>
    </w:p>
    <w:p w14:paraId="3747A268" w14:textId="77777777" w:rsidR="00460E97" w:rsidRPr="00460E97" w:rsidRDefault="00460E97" w:rsidP="00460E97">
      <w:pPr>
        <w:spacing w:after="120" w:line="240" w:lineRule="auto"/>
        <w:jc w:val="both"/>
        <w:rPr>
          <w:sz w:val="24"/>
          <w:szCs w:val="24"/>
        </w:rPr>
      </w:pPr>
      <w:r w:rsidRPr="00460E97">
        <w:rPr>
          <w:sz w:val="24"/>
          <w:szCs w:val="24"/>
        </w:rPr>
        <w:t>-</w:t>
      </w:r>
      <w:r w:rsidRPr="00460E97">
        <w:rPr>
          <w:sz w:val="24"/>
          <w:szCs w:val="24"/>
        </w:rPr>
        <w:tab/>
        <w:t xml:space="preserve">L’OS 1.1.1. </w:t>
      </w:r>
      <w:proofErr w:type="gramStart"/>
      <w:r w:rsidRPr="00460E97">
        <w:rPr>
          <w:sz w:val="24"/>
          <w:szCs w:val="24"/>
        </w:rPr>
        <w:t>qui</w:t>
      </w:r>
      <w:proofErr w:type="gramEnd"/>
      <w:r w:rsidRPr="00460E97">
        <w:rPr>
          <w:sz w:val="24"/>
          <w:szCs w:val="24"/>
        </w:rPr>
        <w:t xml:space="preserve"> vise à renforcer les activités de pêche durables sur le plan économique, social et environnemental (1 100 000 €)</w:t>
      </w:r>
    </w:p>
    <w:p w14:paraId="522E4294" w14:textId="77777777" w:rsidR="00460E97" w:rsidRPr="00460E97" w:rsidRDefault="00460E97" w:rsidP="00460E97">
      <w:pPr>
        <w:spacing w:after="120" w:line="240" w:lineRule="auto"/>
        <w:jc w:val="both"/>
        <w:rPr>
          <w:sz w:val="24"/>
          <w:szCs w:val="24"/>
        </w:rPr>
      </w:pPr>
      <w:r w:rsidRPr="00460E97">
        <w:rPr>
          <w:sz w:val="24"/>
          <w:szCs w:val="24"/>
        </w:rPr>
        <w:t xml:space="preserve">Les types d’action suivants pourront être soutenus : </w:t>
      </w:r>
    </w:p>
    <w:p w14:paraId="53BCF697" w14:textId="77777777" w:rsidR="00460E97" w:rsidRPr="00460E97" w:rsidRDefault="00460E97" w:rsidP="00460E97">
      <w:pPr>
        <w:spacing w:after="120" w:line="240" w:lineRule="auto"/>
        <w:jc w:val="both"/>
        <w:rPr>
          <w:sz w:val="24"/>
          <w:szCs w:val="24"/>
        </w:rPr>
      </w:pPr>
      <w:r w:rsidRPr="00460E97">
        <w:rPr>
          <w:sz w:val="24"/>
          <w:szCs w:val="24"/>
        </w:rPr>
        <w:t>-  TA 1.1.1.1 « Modernisation des navires de pêche, adaptation et diversification des activités de pêche » ;</w:t>
      </w:r>
    </w:p>
    <w:p w14:paraId="134CDBFF" w14:textId="77777777" w:rsidR="00460E97" w:rsidRPr="00460E97" w:rsidRDefault="00460E97" w:rsidP="00460E97">
      <w:pPr>
        <w:spacing w:after="120" w:line="240" w:lineRule="auto"/>
        <w:jc w:val="both"/>
        <w:rPr>
          <w:sz w:val="24"/>
          <w:szCs w:val="24"/>
        </w:rPr>
      </w:pPr>
      <w:r w:rsidRPr="00460E97">
        <w:rPr>
          <w:sz w:val="24"/>
          <w:szCs w:val="24"/>
        </w:rPr>
        <w:t>-  TA 1.1.1.3 « Investissements dans les ports de pêche et sites de débarquement » ;</w:t>
      </w:r>
    </w:p>
    <w:p w14:paraId="06A070A6" w14:textId="77777777" w:rsidR="00460E97" w:rsidRPr="00460E97" w:rsidRDefault="00460E97" w:rsidP="00460E97">
      <w:pPr>
        <w:spacing w:after="120" w:line="240" w:lineRule="auto"/>
        <w:jc w:val="both"/>
        <w:rPr>
          <w:sz w:val="24"/>
          <w:szCs w:val="24"/>
        </w:rPr>
      </w:pPr>
      <w:r w:rsidRPr="00460E97">
        <w:rPr>
          <w:sz w:val="24"/>
          <w:szCs w:val="24"/>
        </w:rPr>
        <w:t>-   TA 1.1.1.4R « Recherche et innovation (d’ampleur régional) » ;</w:t>
      </w:r>
    </w:p>
    <w:p w14:paraId="540E4DD2" w14:textId="77777777" w:rsidR="00460E97" w:rsidRPr="00460E97" w:rsidRDefault="00460E97" w:rsidP="00460E97">
      <w:pPr>
        <w:spacing w:after="120" w:line="240" w:lineRule="auto"/>
        <w:jc w:val="both"/>
        <w:rPr>
          <w:sz w:val="24"/>
          <w:szCs w:val="24"/>
        </w:rPr>
      </w:pPr>
      <w:r w:rsidRPr="00460E97">
        <w:rPr>
          <w:sz w:val="24"/>
          <w:szCs w:val="24"/>
        </w:rPr>
        <w:t>-</w:t>
      </w:r>
      <w:r w:rsidRPr="00460E97">
        <w:rPr>
          <w:sz w:val="24"/>
          <w:szCs w:val="24"/>
        </w:rPr>
        <w:tab/>
        <w:t xml:space="preserve">L’OS 1.1.2. </w:t>
      </w:r>
      <w:proofErr w:type="gramStart"/>
      <w:r w:rsidRPr="00460E97">
        <w:rPr>
          <w:sz w:val="24"/>
          <w:szCs w:val="24"/>
        </w:rPr>
        <w:t>qui</w:t>
      </w:r>
      <w:proofErr w:type="gramEnd"/>
      <w:r w:rsidRPr="00460E97">
        <w:rPr>
          <w:sz w:val="24"/>
          <w:szCs w:val="24"/>
        </w:rPr>
        <w:t xml:space="preserve"> vise à améliorer l’attractivité des métiers de la pêche et à favoriser le renouvellement des générations dans la pêche maritime et la pêche professionnelle en eau douce (277 358,49 €).</w:t>
      </w:r>
    </w:p>
    <w:p w14:paraId="43CC5000" w14:textId="77777777" w:rsidR="00460E97" w:rsidRPr="00460E97" w:rsidRDefault="00460E97" w:rsidP="00460E97">
      <w:pPr>
        <w:spacing w:after="120" w:line="240" w:lineRule="auto"/>
        <w:jc w:val="both"/>
        <w:rPr>
          <w:sz w:val="24"/>
          <w:szCs w:val="24"/>
        </w:rPr>
      </w:pPr>
      <w:r w:rsidRPr="00460E97">
        <w:rPr>
          <w:sz w:val="24"/>
          <w:szCs w:val="24"/>
        </w:rPr>
        <w:t>Les types d’action suivants pourront être soutenus :</w:t>
      </w:r>
    </w:p>
    <w:p w14:paraId="1025DA42" w14:textId="77777777" w:rsidR="00460E97" w:rsidRPr="00460E97" w:rsidRDefault="00460E97" w:rsidP="00460E97">
      <w:pPr>
        <w:spacing w:after="120" w:line="240" w:lineRule="auto"/>
        <w:jc w:val="both"/>
        <w:rPr>
          <w:sz w:val="24"/>
          <w:szCs w:val="24"/>
        </w:rPr>
      </w:pPr>
      <w:r w:rsidRPr="00460E97">
        <w:rPr>
          <w:sz w:val="24"/>
          <w:szCs w:val="24"/>
        </w:rPr>
        <w:t>-   TA 1.1.2.1 « Installation des jeunes pêcheurs » ;</w:t>
      </w:r>
    </w:p>
    <w:p w14:paraId="3681E317" w14:textId="1732C9AE" w:rsidR="00460E97" w:rsidRDefault="00460E97" w:rsidP="00460E97">
      <w:pPr>
        <w:spacing w:after="120" w:line="240" w:lineRule="auto"/>
        <w:jc w:val="both"/>
        <w:rPr>
          <w:sz w:val="24"/>
          <w:szCs w:val="24"/>
        </w:rPr>
      </w:pPr>
      <w:r w:rsidRPr="00460E97">
        <w:rPr>
          <w:sz w:val="24"/>
          <w:szCs w:val="24"/>
        </w:rPr>
        <w:t>-   TA 1.1.2.2 « Opérations à bord entrainant une augmentation du tonnage brut pour améliorer la sécurité, les conditions de travail à bord des navires ou l’efficacité énergétique » ;</w:t>
      </w:r>
    </w:p>
    <w:p w14:paraId="67CE9A9F" w14:textId="77777777" w:rsidR="00460E97" w:rsidRDefault="00460E97" w:rsidP="006C1481">
      <w:pPr>
        <w:spacing w:after="120" w:line="240" w:lineRule="auto"/>
        <w:jc w:val="both"/>
        <w:rPr>
          <w:sz w:val="24"/>
          <w:szCs w:val="24"/>
        </w:rPr>
      </w:pPr>
    </w:p>
    <w:p w14:paraId="25092BBD" w14:textId="126FD86D" w:rsidR="009C0FEF" w:rsidRPr="00165BDE" w:rsidRDefault="006C1481" w:rsidP="006C1481">
      <w:pPr>
        <w:spacing w:after="120" w:line="240" w:lineRule="auto"/>
        <w:jc w:val="both"/>
        <w:rPr>
          <w:sz w:val="24"/>
          <w:szCs w:val="24"/>
        </w:rPr>
      </w:pPr>
      <w:r w:rsidRPr="00A61D0E">
        <w:rPr>
          <w:sz w:val="24"/>
          <w:szCs w:val="24"/>
        </w:rPr>
        <w:t xml:space="preserve">La stratégie régionale s’articule avec le Schéma Régional d'Aménagement, de Développement Durable et d'Egalité des Territoires (SRADDET) et le Plan </w:t>
      </w:r>
      <w:r w:rsidR="005002B2">
        <w:rPr>
          <w:sz w:val="24"/>
          <w:szCs w:val="24"/>
        </w:rPr>
        <w:t>c</w:t>
      </w:r>
      <w:r w:rsidRPr="00A61D0E">
        <w:rPr>
          <w:sz w:val="24"/>
          <w:szCs w:val="24"/>
        </w:rPr>
        <w:t>limat « Gardons une COP d’</w:t>
      </w:r>
      <w:r w:rsidR="005002B2">
        <w:rPr>
          <w:sz w:val="24"/>
          <w:szCs w:val="24"/>
        </w:rPr>
        <w:t>a</w:t>
      </w:r>
      <w:r w:rsidRPr="00A61D0E">
        <w:rPr>
          <w:sz w:val="24"/>
          <w:szCs w:val="24"/>
        </w:rPr>
        <w:t>vance » adoptés par la Région</w:t>
      </w:r>
      <w:r w:rsidR="005002B2" w:rsidRPr="005002B2">
        <w:rPr>
          <w:sz w:val="24"/>
          <w:szCs w:val="24"/>
        </w:rPr>
        <w:t xml:space="preserve"> </w:t>
      </w:r>
      <w:r w:rsidR="005002B2" w:rsidRPr="00512B2E">
        <w:rPr>
          <w:sz w:val="24"/>
          <w:szCs w:val="24"/>
        </w:rPr>
        <w:t>et une attention particulière sera apportée (autant que faire se peut suivant les types d’actions) à la promotion de l’égalité professionnelle femme/homme</w:t>
      </w:r>
      <w:r w:rsidRPr="00A61D0E">
        <w:rPr>
          <w:sz w:val="24"/>
          <w:szCs w:val="24"/>
        </w:rPr>
        <w:t>.</w:t>
      </w:r>
    </w:p>
    <w:bookmarkEnd w:id="4"/>
    <w:p w14:paraId="121EFCFD" w14:textId="77777777" w:rsidR="00AE5D22" w:rsidRDefault="00AE5D22" w:rsidP="006C1481">
      <w:pPr>
        <w:spacing w:after="120" w:line="240" w:lineRule="auto"/>
        <w:jc w:val="both"/>
      </w:pPr>
    </w:p>
    <w:p w14:paraId="11E9F608" w14:textId="19A34CD8" w:rsidR="00000466" w:rsidRDefault="00AE5D22" w:rsidP="00D32D5E">
      <w:pPr>
        <w:spacing w:after="120" w:line="240" w:lineRule="auto"/>
        <w:ind w:firstLine="708"/>
        <w:jc w:val="both"/>
        <w:rPr>
          <w:b/>
          <w:sz w:val="32"/>
          <w:szCs w:val="32"/>
        </w:rPr>
      </w:pPr>
      <w:bookmarkStart w:id="5" w:name="_Hlk123057814"/>
      <w:r w:rsidRPr="00AE5D22">
        <w:rPr>
          <w:b/>
          <w:sz w:val="32"/>
          <w:szCs w:val="32"/>
        </w:rPr>
        <w:t>2. Objectif du présent Appel</w:t>
      </w:r>
    </w:p>
    <w:bookmarkEnd w:id="5"/>
    <w:p w14:paraId="4A68096A" w14:textId="335C61B0" w:rsidR="00826273" w:rsidRPr="00826273" w:rsidRDefault="00826273" w:rsidP="00826273">
      <w:pPr>
        <w:widowControl w:val="0"/>
        <w:tabs>
          <w:tab w:val="left" w:pos="962"/>
          <w:tab w:val="right" w:leader="dot" w:pos="9542"/>
        </w:tabs>
        <w:suppressAutoHyphens/>
        <w:autoSpaceDN w:val="0"/>
        <w:spacing w:after="120" w:line="240" w:lineRule="auto"/>
        <w:contextualSpacing/>
        <w:textAlignment w:val="baseline"/>
        <w:rPr>
          <w:rFonts w:eastAsia="Calibri" w:cstheme="minorHAnsi"/>
          <w:sz w:val="24"/>
          <w:szCs w:val="24"/>
        </w:rPr>
      </w:pPr>
      <w:r w:rsidRPr="00826273">
        <w:rPr>
          <w:rFonts w:eastAsia="Calibri" w:cstheme="minorHAnsi"/>
          <w:sz w:val="24"/>
          <w:szCs w:val="24"/>
        </w:rPr>
        <w:t>En matière de soutien aux investissements portuaires, le FEAMP</w:t>
      </w:r>
      <w:r>
        <w:rPr>
          <w:rFonts w:eastAsia="Calibri" w:cstheme="minorHAnsi"/>
          <w:sz w:val="24"/>
          <w:szCs w:val="24"/>
        </w:rPr>
        <w:t>A</w:t>
      </w:r>
      <w:r w:rsidRPr="00826273">
        <w:rPr>
          <w:rFonts w:eastAsia="Calibri" w:cstheme="minorHAnsi"/>
          <w:sz w:val="24"/>
          <w:szCs w:val="24"/>
        </w:rPr>
        <w:t xml:space="preserve"> doit permettre de conforter la compétitivité des entreprises de pêche et des activités complémentaires par l’optimisation des infrastructures portuaires </w:t>
      </w:r>
      <w:r w:rsidRPr="00826273">
        <w:rPr>
          <w:rFonts w:eastAsia="Calibri" w:cstheme="minorHAnsi"/>
          <w:sz w:val="24"/>
          <w:szCs w:val="24"/>
          <w:vertAlign w:val="superscript"/>
          <w:lang w:eastAsia="zh-CN"/>
        </w:rPr>
        <w:footnoteReference w:id="1"/>
      </w:r>
      <w:r w:rsidRPr="00826273">
        <w:rPr>
          <w:rFonts w:eastAsia="Calibri" w:cstheme="minorHAnsi"/>
          <w:sz w:val="24"/>
          <w:szCs w:val="24"/>
        </w:rPr>
        <w:t xml:space="preserve"> ainsi que leur organisation à l’échelle régionale. </w:t>
      </w:r>
    </w:p>
    <w:p w14:paraId="143E0D0A" w14:textId="77777777" w:rsidR="00826273" w:rsidRPr="000E18DC" w:rsidRDefault="00826273" w:rsidP="00826273">
      <w:pPr>
        <w:widowControl w:val="0"/>
        <w:tabs>
          <w:tab w:val="left" w:pos="962"/>
          <w:tab w:val="right" w:leader="dot" w:pos="9542"/>
        </w:tabs>
        <w:suppressAutoHyphens/>
        <w:autoSpaceDN w:val="0"/>
        <w:spacing w:after="120" w:line="240" w:lineRule="auto"/>
        <w:contextualSpacing/>
        <w:textAlignment w:val="baseline"/>
        <w:rPr>
          <w:rFonts w:ascii="Times New Roman" w:eastAsia="Calibri" w:hAnsi="Times New Roman" w:cs="Times New Roman"/>
          <w:sz w:val="24"/>
          <w:szCs w:val="24"/>
        </w:rPr>
      </w:pPr>
    </w:p>
    <w:p w14:paraId="6BCB0EA9" w14:textId="77777777" w:rsidR="00AD18E8" w:rsidRDefault="00AD18E8" w:rsidP="009A1543">
      <w:pPr>
        <w:jc w:val="both"/>
        <w:rPr>
          <w:rFonts w:eastAsia="Calibri" w:cstheme="minorHAnsi"/>
          <w:sz w:val="24"/>
          <w:szCs w:val="24"/>
        </w:rPr>
      </w:pPr>
    </w:p>
    <w:p w14:paraId="2B86F0D5" w14:textId="7385B704" w:rsidR="00826273" w:rsidRPr="00684039" w:rsidRDefault="00826273" w:rsidP="009A1543">
      <w:pPr>
        <w:jc w:val="both"/>
        <w:rPr>
          <w:rFonts w:eastAsia="Calibri" w:cstheme="minorHAnsi"/>
          <w:strike/>
          <w:sz w:val="24"/>
          <w:szCs w:val="24"/>
        </w:rPr>
      </w:pPr>
      <w:r w:rsidRPr="00826273">
        <w:rPr>
          <w:rFonts w:eastAsia="Calibri" w:cstheme="minorHAnsi"/>
          <w:sz w:val="24"/>
          <w:szCs w:val="24"/>
        </w:rPr>
        <w:t>L’accompagnement des démarches et des investissements doit favoriser la prise en charge des produits, leur qualité et leur traçabilité commerciale. D'autre part, le FEAMP</w:t>
      </w:r>
      <w:r w:rsidR="009A1543">
        <w:rPr>
          <w:rFonts w:eastAsia="Calibri" w:cstheme="minorHAnsi"/>
          <w:sz w:val="24"/>
          <w:szCs w:val="24"/>
        </w:rPr>
        <w:t>A</w:t>
      </w:r>
      <w:r w:rsidRPr="00826273">
        <w:rPr>
          <w:rFonts w:eastAsia="Calibri" w:cstheme="minorHAnsi"/>
          <w:sz w:val="24"/>
          <w:szCs w:val="24"/>
        </w:rPr>
        <w:t xml:space="preserve"> soutient les investissements nécessaires à la mise en œuvre de l’obligation de débarquement des captures non désirées. L’intervention du FEAMP</w:t>
      </w:r>
      <w:r w:rsidR="009A1543">
        <w:rPr>
          <w:rFonts w:eastAsia="Calibri" w:cstheme="minorHAnsi"/>
          <w:sz w:val="24"/>
          <w:szCs w:val="24"/>
        </w:rPr>
        <w:t>A</w:t>
      </w:r>
      <w:r w:rsidRPr="00826273">
        <w:rPr>
          <w:rFonts w:eastAsia="Calibri" w:cstheme="minorHAnsi"/>
          <w:sz w:val="24"/>
          <w:szCs w:val="24"/>
        </w:rPr>
        <w:t xml:space="preserve"> vise également à améliorer les conditions de travail et de sécurité dans les ports</w:t>
      </w:r>
      <w:r w:rsidR="009A1543">
        <w:rPr>
          <w:rFonts w:eastAsia="Calibri" w:cstheme="minorHAnsi"/>
          <w:sz w:val="24"/>
          <w:szCs w:val="24"/>
        </w:rPr>
        <w:t xml:space="preserve"> et sites de débarquement. </w:t>
      </w:r>
      <w:r w:rsidRPr="00826273">
        <w:rPr>
          <w:rFonts w:eastAsia="Calibri" w:cstheme="minorHAnsi"/>
          <w:sz w:val="24"/>
          <w:szCs w:val="24"/>
        </w:rPr>
        <w:t xml:space="preserve"> L’adaptation des ports de pêche aux exigences de la transition écologique sera également encouragée</w:t>
      </w:r>
      <w:r w:rsidR="00AD18E8">
        <w:rPr>
          <w:rFonts w:eastAsia="Calibri" w:cstheme="minorHAnsi"/>
          <w:sz w:val="24"/>
          <w:szCs w:val="24"/>
        </w:rPr>
        <w:t>.</w:t>
      </w:r>
    </w:p>
    <w:p w14:paraId="72D1D7B2" w14:textId="78A2E09F" w:rsidR="00826273" w:rsidRPr="00826273" w:rsidRDefault="00826273" w:rsidP="00826273">
      <w:pPr>
        <w:rPr>
          <w:rFonts w:eastAsia="Calibri" w:cstheme="minorHAnsi"/>
          <w:sz w:val="24"/>
          <w:szCs w:val="24"/>
        </w:rPr>
      </w:pPr>
      <w:r w:rsidRPr="00826273">
        <w:rPr>
          <w:rFonts w:eastAsia="Calibri" w:cstheme="minorHAnsi"/>
          <w:sz w:val="24"/>
          <w:szCs w:val="24"/>
        </w:rPr>
        <w:t xml:space="preserve">Plus précisément, les objectifs au niveau de </w:t>
      </w:r>
      <w:r>
        <w:rPr>
          <w:rFonts w:eastAsia="Calibri" w:cstheme="minorHAnsi"/>
          <w:sz w:val="24"/>
          <w:szCs w:val="24"/>
        </w:rPr>
        <w:t>cet appel à projets</w:t>
      </w:r>
      <w:r w:rsidRPr="00826273">
        <w:rPr>
          <w:rFonts w:eastAsia="Calibri" w:cstheme="minorHAnsi"/>
          <w:sz w:val="24"/>
          <w:szCs w:val="24"/>
        </w:rPr>
        <w:t xml:space="preserve"> sont de soutenir les investissements </w:t>
      </w:r>
      <w:r w:rsidR="009A1543">
        <w:rPr>
          <w:rFonts w:eastAsia="Calibri" w:cstheme="minorHAnsi"/>
          <w:sz w:val="24"/>
          <w:szCs w:val="24"/>
        </w:rPr>
        <w:t>p</w:t>
      </w:r>
      <w:r w:rsidRPr="00826273">
        <w:rPr>
          <w:rFonts w:eastAsia="Calibri" w:cstheme="minorHAnsi"/>
          <w:sz w:val="24"/>
          <w:szCs w:val="24"/>
        </w:rPr>
        <w:t>ermettant</w:t>
      </w:r>
      <w:r>
        <w:rPr>
          <w:rFonts w:eastAsia="Calibri" w:cstheme="minorHAnsi"/>
          <w:sz w:val="24"/>
          <w:szCs w:val="24"/>
        </w:rPr>
        <w:t xml:space="preserve"> </w:t>
      </w:r>
      <w:r w:rsidRPr="00826273">
        <w:rPr>
          <w:rFonts w:eastAsia="Calibri" w:cstheme="minorHAnsi"/>
          <w:sz w:val="24"/>
          <w:szCs w:val="24"/>
        </w:rPr>
        <w:t xml:space="preserve">: </w:t>
      </w:r>
    </w:p>
    <w:p w14:paraId="774CA9F8" w14:textId="50BECB0B" w:rsidR="00826273" w:rsidRPr="00826273" w:rsidRDefault="00826273" w:rsidP="00826273">
      <w:pPr>
        <w:ind w:left="284"/>
        <w:rPr>
          <w:rFonts w:eastAsia="Calibri" w:cstheme="minorHAnsi"/>
          <w:sz w:val="24"/>
          <w:szCs w:val="24"/>
        </w:rPr>
      </w:pPr>
      <w:r w:rsidRPr="00826273">
        <w:rPr>
          <w:rFonts w:eastAsia="Calibri" w:cstheme="minorHAnsi"/>
          <w:sz w:val="24"/>
          <w:szCs w:val="24"/>
        </w:rPr>
        <w:t>-</w:t>
      </w:r>
      <w:r w:rsidRPr="00826273">
        <w:rPr>
          <w:rFonts w:eastAsia="Calibri" w:cstheme="minorHAnsi"/>
          <w:sz w:val="24"/>
          <w:szCs w:val="24"/>
        </w:rPr>
        <w:tab/>
        <w:t>d’améliorer la prise en charge des produits aux fins de valoriser la qualité assurée par le producteur, d’en assurer la traçabilité</w:t>
      </w:r>
      <w:r w:rsidR="009A1543">
        <w:rPr>
          <w:rFonts w:eastAsia="Calibri" w:cstheme="minorHAnsi"/>
          <w:sz w:val="24"/>
          <w:szCs w:val="24"/>
        </w:rPr>
        <w:t>,</w:t>
      </w:r>
    </w:p>
    <w:p w14:paraId="532174EC" w14:textId="6E3AC345" w:rsidR="00826273" w:rsidRPr="00826273" w:rsidRDefault="00826273" w:rsidP="00826273">
      <w:pPr>
        <w:ind w:left="284"/>
        <w:rPr>
          <w:rFonts w:eastAsia="Calibri" w:cstheme="minorHAnsi"/>
          <w:sz w:val="24"/>
          <w:szCs w:val="24"/>
        </w:rPr>
      </w:pPr>
      <w:r w:rsidRPr="00826273">
        <w:rPr>
          <w:rFonts w:eastAsia="Calibri" w:cstheme="minorHAnsi"/>
          <w:sz w:val="24"/>
          <w:szCs w:val="24"/>
        </w:rPr>
        <w:t>-</w:t>
      </w:r>
      <w:r w:rsidRPr="00826273">
        <w:rPr>
          <w:rFonts w:eastAsia="Calibri" w:cstheme="minorHAnsi"/>
          <w:sz w:val="24"/>
          <w:szCs w:val="24"/>
        </w:rPr>
        <w:tab/>
        <w:t>d’améliorer l’efficacité énergétique de la place portuaire halieutique, de réduire l’incidence de ses activités sur l'environnement</w:t>
      </w:r>
      <w:r w:rsidR="009A1543">
        <w:rPr>
          <w:rFonts w:eastAsia="Calibri" w:cstheme="minorHAnsi"/>
          <w:sz w:val="24"/>
          <w:szCs w:val="24"/>
        </w:rPr>
        <w:t>,</w:t>
      </w:r>
    </w:p>
    <w:p w14:paraId="458F55E1" w14:textId="77777777" w:rsidR="00826273" w:rsidRPr="00826273" w:rsidRDefault="00826273" w:rsidP="00826273">
      <w:pPr>
        <w:ind w:left="284"/>
        <w:rPr>
          <w:rFonts w:eastAsia="Calibri" w:cstheme="minorHAnsi"/>
          <w:sz w:val="24"/>
          <w:szCs w:val="24"/>
        </w:rPr>
      </w:pPr>
      <w:r w:rsidRPr="00826273">
        <w:rPr>
          <w:rFonts w:eastAsia="Calibri" w:cstheme="minorHAnsi"/>
          <w:sz w:val="24"/>
          <w:szCs w:val="24"/>
        </w:rPr>
        <w:t>-</w:t>
      </w:r>
      <w:r w:rsidRPr="00826273">
        <w:rPr>
          <w:rFonts w:eastAsia="Calibri" w:cstheme="minorHAnsi"/>
          <w:sz w:val="24"/>
          <w:szCs w:val="24"/>
        </w:rPr>
        <w:tab/>
        <w:t xml:space="preserve">de favoriser l'attractivité des métiers en améliorant les conditions de travail et de sécurité. </w:t>
      </w:r>
    </w:p>
    <w:p w14:paraId="1A52FFBC" w14:textId="77777777" w:rsidR="00AD18E8" w:rsidRDefault="00AD18E8" w:rsidP="00D32D5E">
      <w:pPr>
        <w:spacing w:after="120" w:line="240" w:lineRule="auto"/>
        <w:ind w:firstLine="708"/>
        <w:jc w:val="both"/>
        <w:rPr>
          <w:b/>
          <w:sz w:val="32"/>
          <w:szCs w:val="32"/>
        </w:rPr>
      </w:pPr>
    </w:p>
    <w:p w14:paraId="4C89AEDA" w14:textId="30B7E82E" w:rsidR="00D220B5" w:rsidRDefault="00754541" w:rsidP="00D32D5E">
      <w:pPr>
        <w:spacing w:after="120" w:line="240" w:lineRule="auto"/>
        <w:ind w:firstLine="708"/>
        <w:jc w:val="both"/>
        <w:rPr>
          <w:b/>
          <w:sz w:val="32"/>
          <w:szCs w:val="32"/>
        </w:rPr>
      </w:pPr>
      <w:r>
        <w:rPr>
          <w:b/>
          <w:sz w:val="32"/>
          <w:szCs w:val="32"/>
        </w:rPr>
        <w:t>3</w:t>
      </w:r>
      <w:r w:rsidR="004708BB" w:rsidRPr="004708BB">
        <w:rPr>
          <w:b/>
          <w:sz w:val="32"/>
          <w:szCs w:val="32"/>
        </w:rPr>
        <w:t xml:space="preserve">. </w:t>
      </w:r>
      <w:r w:rsidR="00FA0927">
        <w:rPr>
          <w:b/>
          <w:sz w:val="32"/>
          <w:szCs w:val="32"/>
        </w:rPr>
        <w:t>Conditions d’éligibilité</w:t>
      </w:r>
      <w:r w:rsidR="00FA0927">
        <w:rPr>
          <w:b/>
          <w:sz w:val="32"/>
          <w:szCs w:val="32"/>
        </w:rPr>
        <w:tab/>
      </w:r>
    </w:p>
    <w:p w14:paraId="15FBE625" w14:textId="77777777" w:rsidR="00D220B5" w:rsidRPr="00D220B5" w:rsidRDefault="00D220B5" w:rsidP="004708BB">
      <w:pPr>
        <w:spacing w:after="120" w:line="240" w:lineRule="auto"/>
        <w:jc w:val="both"/>
        <w:rPr>
          <w:b/>
          <w:sz w:val="16"/>
          <w:szCs w:val="16"/>
        </w:rPr>
      </w:pPr>
    </w:p>
    <w:p w14:paraId="49E97E75" w14:textId="7965AC23" w:rsidR="00FA0927" w:rsidRPr="00ED1E8E" w:rsidRDefault="00FA0927" w:rsidP="00D220B5">
      <w:pPr>
        <w:spacing w:after="120" w:line="240" w:lineRule="auto"/>
        <w:ind w:firstLine="708"/>
        <w:jc w:val="both"/>
        <w:rPr>
          <w:rFonts w:cstheme="minorHAnsi"/>
          <w:b/>
          <w:sz w:val="24"/>
          <w:szCs w:val="24"/>
        </w:rPr>
      </w:pPr>
      <w:r w:rsidRPr="00ED1E8E">
        <w:rPr>
          <w:rFonts w:cstheme="minorHAnsi"/>
          <w:b/>
          <w:sz w:val="24"/>
          <w:szCs w:val="24"/>
        </w:rPr>
        <w:t>A/ Bénéficiaires</w:t>
      </w:r>
    </w:p>
    <w:p w14:paraId="52DB4A65" w14:textId="63294BB2" w:rsidR="00ED1E8E" w:rsidRPr="00ED1E8E" w:rsidRDefault="00ED1E8E" w:rsidP="00ED1E8E">
      <w:pPr>
        <w:spacing w:after="0"/>
        <w:rPr>
          <w:rFonts w:eastAsia="Times New Roman" w:cstheme="minorHAnsi"/>
          <w:sz w:val="24"/>
          <w:szCs w:val="24"/>
          <w:lang w:eastAsia="zh-CN"/>
        </w:rPr>
      </w:pPr>
      <w:r w:rsidRPr="00ED1E8E">
        <w:rPr>
          <w:rFonts w:eastAsia="Times New Roman" w:cstheme="minorHAnsi"/>
          <w:sz w:val="24"/>
          <w:szCs w:val="24"/>
          <w:lang w:eastAsia="zh-CN"/>
        </w:rPr>
        <w:t>Les bénéficiaires éligibles à cette mesure sont :</w:t>
      </w:r>
    </w:p>
    <w:p w14:paraId="41C1F5FC" w14:textId="77777777" w:rsidR="00ED1E8E" w:rsidRPr="00ED1E8E" w:rsidRDefault="00ED1E8E" w:rsidP="00ED1E8E">
      <w:pPr>
        <w:numPr>
          <w:ilvl w:val="0"/>
          <w:numId w:val="16"/>
        </w:numPr>
        <w:autoSpaceDE w:val="0"/>
        <w:spacing w:after="0" w:line="240" w:lineRule="auto"/>
        <w:ind w:left="703" w:hanging="357"/>
        <w:jc w:val="both"/>
        <w:rPr>
          <w:rFonts w:eastAsia="Times New Roman" w:cstheme="minorHAnsi"/>
          <w:sz w:val="24"/>
          <w:szCs w:val="24"/>
          <w:lang w:eastAsia="zh-CN"/>
        </w:rPr>
      </w:pPr>
      <w:r w:rsidRPr="00ED1E8E">
        <w:rPr>
          <w:rFonts w:eastAsia="Times New Roman" w:cstheme="minorHAnsi"/>
          <w:sz w:val="24"/>
          <w:szCs w:val="24"/>
          <w:lang w:eastAsia="zh-CN"/>
        </w:rPr>
        <w:t>Les concessionnaires des ports de pêche</w:t>
      </w:r>
    </w:p>
    <w:p w14:paraId="49069099" w14:textId="77777777" w:rsidR="00ED1E8E" w:rsidRPr="00ED1E8E" w:rsidRDefault="00ED1E8E" w:rsidP="00ED1E8E">
      <w:pPr>
        <w:numPr>
          <w:ilvl w:val="0"/>
          <w:numId w:val="16"/>
        </w:numPr>
        <w:autoSpaceDE w:val="0"/>
        <w:spacing w:after="0" w:line="240" w:lineRule="auto"/>
        <w:ind w:left="703" w:hanging="357"/>
        <w:jc w:val="both"/>
        <w:rPr>
          <w:rFonts w:eastAsia="Times New Roman" w:cstheme="minorHAnsi"/>
          <w:sz w:val="24"/>
          <w:szCs w:val="24"/>
          <w:lang w:eastAsia="zh-CN"/>
        </w:rPr>
      </w:pPr>
      <w:r w:rsidRPr="00ED1E8E">
        <w:rPr>
          <w:rFonts w:eastAsia="Times New Roman" w:cstheme="minorHAnsi"/>
          <w:sz w:val="24"/>
          <w:szCs w:val="24"/>
          <w:lang w:eastAsia="zh-CN"/>
        </w:rPr>
        <w:t xml:space="preserve">Les gestionnaires des halles à marée </w:t>
      </w:r>
    </w:p>
    <w:p w14:paraId="1BE6256F" w14:textId="77777777" w:rsidR="00ED1E8E" w:rsidRPr="00ED1E8E" w:rsidRDefault="00ED1E8E" w:rsidP="00ED1E8E">
      <w:pPr>
        <w:numPr>
          <w:ilvl w:val="0"/>
          <w:numId w:val="16"/>
        </w:numPr>
        <w:autoSpaceDE w:val="0"/>
        <w:spacing w:after="0" w:line="240" w:lineRule="auto"/>
        <w:ind w:left="703" w:hanging="357"/>
        <w:jc w:val="both"/>
        <w:rPr>
          <w:rFonts w:eastAsia="Times New Roman" w:cstheme="minorHAnsi"/>
          <w:sz w:val="24"/>
          <w:szCs w:val="24"/>
          <w:lang w:eastAsia="zh-CN"/>
        </w:rPr>
      </w:pPr>
      <w:r w:rsidRPr="00ED1E8E">
        <w:rPr>
          <w:rFonts w:eastAsia="Times New Roman" w:cstheme="minorHAnsi"/>
          <w:sz w:val="24"/>
          <w:szCs w:val="24"/>
          <w:lang w:eastAsia="zh-CN"/>
        </w:rPr>
        <w:t>Les collectivités territoriales et leurs groupements responsables de la gestion du domaine portuaire</w:t>
      </w:r>
    </w:p>
    <w:p w14:paraId="6736E3B8" w14:textId="77777777" w:rsidR="00ED1E8E" w:rsidRPr="00ED1E8E" w:rsidRDefault="00ED1E8E" w:rsidP="00ED1E8E">
      <w:pPr>
        <w:numPr>
          <w:ilvl w:val="0"/>
          <w:numId w:val="16"/>
        </w:numPr>
        <w:autoSpaceDE w:val="0"/>
        <w:spacing w:after="0" w:line="240" w:lineRule="auto"/>
        <w:ind w:left="703" w:hanging="357"/>
        <w:jc w:val="both"/>
        <w:rPr>
          <w:rFonts w:eastAsia="Arial" w:cstheme="minorHAnsi"/>
          <w:sz w:val="24"/>
          <w:szCs w:val="24"/>
          <w:lang w:eastAsia="zh-CN"/>
        </w:rPr>
      </w:pPr>
      <w:r w:rsidRPr="00ED1E8E">
        <w:rPr>
          <w:rFonts w:eastAsia="Times New Roman" w:cstheme="minorHAnsi"/>
          <w:sz w:val="24"/>
          <w:szCs w:val="24"/>
          <w:lang w:eastAsia="zh-CN"/>
        </w:rPr>
        <w:t>Les entreprises privées, structures professionnelles, groupements de collectivités territoriales ou de producteurs qui portent et financent un projet, pour un usage collectif, sur le domaine public portuaire.</w:t>
      </w:r>
    </w:p>
    <w:p w14:paraId="1FD5C497" w14:textId="77777777" w:rsidR="00754541" w:rsidRPr="004708BB" w:rsidRDefault="00754541" w:rsidP="00754541">
      <w:pPr>
        <w:spacing w:after="120" w:line="240" w:lineRule="auto"/>
        <w:jc w:val="both"/>
        <w:rPr>
          <w:b/>
          <w:sz w:val="24"/>
          <w:szCs w:val="24"/>
        </w:rPr>
      </w:pPr>
    </w:p>
    <w:p w14:paraId="5DBB3F5D" w14:textId="7F313057" w:rsidR="004708BB" w:rsidRPr="0034325E" w:rsidRDefault="0034325E" w:rsidP="009D4E3E">
      <w:pPr>
        <w:spacing w:after="120" w:line="240" w:lineRule="auto"/>
        <w:jc w:val="both"/>
        <w:rPr>
          <w:b/>
          <w:bCs/>
          <w:sz w:val="24"/>
          <w:szCs w:val="24"/>
        </w:rPr>
      </w:pPr>
      <w:r>
        <w:rPr>
          <w:sz w:val="24"/>
          <w:szCs w:val="24"/>
        </w:rPr>
        <w:tab/>
      </w:r>
      <w:r w:rsidRPr="0034325E">
        <w:rPr>
          <w:b/>
          <w:bCs/>
          <w:sz w:val="24"/>
          <w:szCs w:val="24"/>
        </w:rPr>
        <w:t>B/ Opérations</w:t>
      </w:r>
    </w:p>
    <w:p w14:paraId="5B126A8D" w14:textId="4F3DA9CF" w:rsidR="00ED1E8E" w:rsidRPr="007C7C02" w:rsidRDefault="00ED1E8E" w:rsidP="00ED1E8E">
      <w:pPr>
        <w:rPr>
          <w:rFonts w:ascii="Times New Roman" w:hAnsi="Times New Roman" w:cs="Times New Roman"/>
          <w:sz w:val="24"/>
          <w:szCs w:val="24"/>
        </w:rPr>
      </w:pPr>
      <w:r w:rsidRPr="009A1543">
        <w:rPr>
          <w:rFonts w:cstheme="minorHAnsi"/>
          <w:sz w:val="24"/>
          <w:szCs w:val="24"/>
        </w:rPr>
        <w:t xml:space="preserve">Le projet est éligible lorsqu’il est réalisé sur </w:t>
      </w:r>
      <w:r w:rsidR="005B4828">
        <w:rPr>
          <w:rFonts w:cstheme="minorHAnsi"/>
          <w:sz w:val="24"/>
          <w:szCs w:val="24"/>
        </w:rPr>
        <w:t xml:space="preserve">un port ou un site de débarquement </w:t>
      </w:r>
      <w:r w:rsidRPr="009A1543">
        <w:rPr>
          <w:rFonts w:cstheme="minorHAnsi"/>
          <w:sz w:val="24"/>
          <w:szCs w:val="24"/>
        </w:rPr>
        <w:t>de la région Provence-Alpes-Côte d’Azur</w:t>
      </w:r>
      <w:r w:rsidRPr="007C7C02">
        <w:rPr>
          <w:rFonts w:ascii="Times New Roman" w:hAnsi="Times New Roman" w:cs="Times New Roman"/>
          <w:sz w:val="24"/>
          <w:szCs w:val="24"/>
        </w:rPr>
        <w:t>.</w:t>
      </w:r>
    </w:p>
    <w:p w14:paraId="47BC121F" w14:textId="5FBB92FE" w:rsidR="00FC39D3" w:rsidRDefault="00AD18E8" w:rsidP="00FC39D3">
      <w:pPr>
        <w:rPr>
          <w:rFonts w:cstheme="minorHAnsi"/>
          <w:sz w:val="24"/>
          <w:szCs w:val="24"/>
        </w:rPr>
      </w:pPr>
      <w:r>
        <w:rPr>
          <w:rFonts w:cstheme="minorHAnsi"/>
          <w:sz w:val="24"/>
          <w:szCs w:val="24"/>
        </w:rPr>
        <w:t xml:space="preserve">Le projet s’inscrit dans la liste des investissements </w:t>
      </w:r>
      <w:r w:rsidRPr="00FC39D3">
        <w:rPr>
          <w:rFonts w:cstheme="minorHAnsi"/>
          <w:sz w:val="24"/>
          <w:szCs w:val="24"/>
        </w:rPr>
        <w:t>types</w:t>
      </w:r>
      <w:r>
        <w:rPr>
          <w:rFonts w:cstheme="minorHAnsi"/>
          <w:sz w:val="24"/>
          <w:szCs w:val="24"/>
        </w:rPr>
        <w:t xml:space="preserve"> identifiés </w:t>
      </w:r>
      <w:r w:rsidR="00FC39D3" w:rsidRPr="00FC39D3">
        <w:rPr>
          <w:rFonts w:cstheme="minorHAnsi"/>
          <w:sz w:val="24"/>
          <w:szCs w:val="24"/>
        </w:rPr>
        <w:t xml:space="preserve">en vue de contribuer à l'atteinte des priorités </w:t>
      </w:r>
      <w:r>
        <w:rPr>
          <w:rFonts w:cstheme="minorHAnsi"/>
          <w:sz w:val="24"/>
          <w:szCs w:val="24"/>
        </w:rPr>
        <w:t xml:space="preserve">et besoins </w:t>
      </w:r>
      <w:r w:rsidR="00FC39D3" w:rsidRPr="00FC39D3">
        <w:rPr>
          <w:rFonts w:cstheme="minorHAnsi"/>
          <w:sz w:val="24"/>
          <w:szCs w:val="24"/>
        </w:rPr>
        <w:t>retenus régionalement</w:t>
      </w:r>
      <w:r>
        <w:rPr>
          <w:rFonts w:cstheme="minorHAnsi"/>
          <w:sz w:val="24"/>
          <w:szCs w:val="24"/>
        </w:rPr>
        <w:t> </w:t>
      </w:r>
      <w:r w:rsidR="003A3EC4">
        <w:rPr>
          <w:rFonts w:cstheme="minorHAnsi"/>
          <w:sz w:val="24"/>
          <w:szCs w:val="24"/>
        </w:rPr>
        <w:t xml:space="preserve">(Cf. annexe II) </w:t>
      </w:r>
      <w:r>
        <w:rPr>
          <w:rFonts w:cstheme="minorHAnsi"/>
          <w:sz w:val="24"/>
          <w:szCs w:val="24"/>
        </w:rPr>
        <w:t xml:space="preserve">: </w:t>
      </w:r>
    </w:p>
    <w:p w14:paraId="27439A93" w14:textId="77777777" w:rsidR="00AD18E8" w:rsidRDefault="00AD18E8" w:rsidP="00FC39D3">
      <w:pPr>
        <w:rPr>
          <w:rFonts w:cstheme="minorHAnsi"/>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544"/>
        <w:gridCol w:w="6135"/>
      </w:tblGrid>
      <w:tr w:rsidR="00FC39D3" w:rsidRPr="00F61320" w14:paraId="60E2C8BD" w14:textId="77777777" w:rsidTr="00531A77">
        <w:tc>
          <w:tcPr>
            <w:tcW w:w="3544" w:type="dxa"/>
            <w:tcBorders>
              <w:top w:val="single" w:sz="4" w:space="0" w:color="000000"/>
              <w:left w:val="single" w:sz="4" w:space="0" w:color="000000"/>
              <w:bottom w:val="single" w:sz="4" w:space="0" w:color="000000"/>
            </w:tcBorders>
            <w:shd w:val="clear" w:color="auto" w:fill="auto"/>
          </w:tcPr>
          <w:p w14:paraId="6D21A328" w14:textId="0E785EA0" w:rsidR="00FC39D3" w:rsidRPr="00FC39D3" w:rsidRDefault="00FC39D3" w:rsidP="00531A77">
            <w:pPr>
              <w:rPr>
                <w:rFonts w:cstheme="minorHAnsi"/>
                <w:b/>
                <w:bCs/>
                <w:sz w:val="24"/>
                <w:szCs w:val="24"/>
              </w:rPr>
            </w:pPr>
            <w:r w:rsidRPr="00FC39D3">
              <w:rPr>
                <w:rFonts w:cstheme="minorHAnsi"/>
                <w:b/>
                <w:bCs/>
                <w:sz w:val="24"/>
                <w:szCs w:val="24"/>
                <w:u w:val="single"/>
              </w:rPr>
              <w:t xml:space="preserve">Besoins identifiés </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3E7D1D88" w14:textId="77777777" w:rsidR="00FC39D3" w:rsidRPr="00FC39D3" w:rsidRDefault="00FC39D3" w:rsidP="00531A77">
            <w:pPr>
              <w:rPr>
                <w:rFonts w:cstheme="minorHAnsi"/>
                <w:b/>
                <w:bCs/>
                <w:sz w:val="24"/>
                <w:szCs w:val="24"/>
                <w:u w:val="single"/>
              </w:rPr>
            </w:pPr>
            <w:r w:rsidRPr="00FC39D3">
              <w:rPr>
                <w:rFonts w:cstheme="minorHAnsi"/>
                <w:b/>
                <w:bCs/>
                <w:sz w:val="24"/>
                <w:szCs w:val="24"/>
              </w:rPr>
              <w:t>Types d'investissements y compris études préalables et actions de formation qui découlent de ces investissements (liste non exhaustive)</w:t>
            </w:r>
          </w:p>
        </w:tc>
      </w:tr>
      <w:tr w:rsidR="00FC39D3" w:rsidRPr="00F61320" w14:paraId="28EB3C1E" w14:textId="77777777" w:rsidTr="00531A77">
        <w:tc>
          <w:tcPr>
            <w:tcW w:w="3544" w:type="dxa"/>
            <w:vMerge w:val="restart"/>
            <w:tcBorders>
              <w:top w:val="single" w:sz="4" w:space="0" w:color="000000"/>
              <w:left w:val="single" w:sz="4" w:space="0" w:color="000000"/>
              <w:bottom w:val="single" w:sz="4" w:space="0" w:color="000000"/>
            </w:tcBorders>
            <w:shd w:val="clear" w:color="auto" w:fill="auto"/>
          </w:tcPr>
          <w:p w14:paraId="773BEECC" w14:textId="77777777" w:rsidR="00FC39D3" w:rsidRPr="00FC39D3" w:rsidRDefault="00FC39D3" w:rsidP="00531A77">
            <w:pPr>
              <w:rPr>
                <w:rFonts w:cstheme="minorHAnsi"/>
                <w:b/>
                <w:bCs/>
                <w:sz w:val="24"/>
                <w:szCs w:val="24"/>
                <w:u w:val="single"/>
              </w:rPr>
            </w:pPr>
          </w:p>
          <w:p w14:paraId="5144F6C7" w14:textId="77777777" w:rsidR="00FC39D3" w:rsidRPr="00FC39D3" w:rsidRDefault="00FC39D3" w:rsidP="00531A77">
            <w:pPr>
              <w:rPr>
                <w:rFonts w:cstheme="minorHAnsi"/>
                <w:b/>
                <w:bCs/>
                <w:sz w:val="24"/>
                <w:szCs w:val="24"/>
              </w:rPr>
            </w:pPr>
          </w:p>
          <w:p w14:paraId="5DBC1512" w14:textId="77777777" w:rsidR="00FC39D3" w:rsidRPr="00FC39D3" w:rsidRDefault="00FC39D3" w:rsidP="00531A77">
            <w:pPr>
              <w:rPr>
                <w:rFonts w:cstheme="minorHAnsi"/>
                <w:b/>
                <w:bCs/>
                <w:sz w:val="24"/>
                <w:szCs w:val="24"/>
              </w:rPr>
            </w:pPr>
          </w:p>
          <w:p w14:paraId="13813925" w14:textId="77777777" w:rsidR="00FC39D3" w:rsidRPr="00FC39D3" w:rsidRDefault="00FC39D3" w:rsidP="00531A77">
            <w:pPr>
              <w:rPr>
                <w:rFonts w:cstheme="minorHAnsi"/>
                <w:b/>
                <w:bCs/>
                <w:sz w:val="24"/>
                <w:szCs w:val="24"/>
              </w:rPr>
            </w:pPr>
          </w:p>
          <w:p w14:paraId="5F79FF9B" w14:textId="77777777" w:rsidR="00FC39D3" w:rsidRPr="00FC39D3" w:rsidRDefault="00FC39D3" w:rsidP="00531A77">
            <w:pPr>
              <w:rPr>
                <w:rFonts w:cstheme="minorHAnsi"/>
                <w:b/>
                <w:bCs/>
                <w:sz w:val="24"/>
                <w:szCs w:val="24"/>
              </w:rPr>
            </w:pPr>
          </w:p>
          <w:p w14:paraId="664FBBDE" w14:textId="77777777" w:rsidR="00FC39D3" w:rsidRPr="00FC39D3" w:rsidRDefault="00FC39D3" w:rsidP="00531A77">
            <w:pPr>
              <w:rPr>
                <w:rFonts w:cstheme="minorHAnsi"/>
                <w:b/>
                <w:bCs/>
                <w:sz w:val="24"/>
                <w:szCs w:val="24"/>
                <w:u w:val="single"/>
              </w:rPr>
            </w:pPr>
            <w:r w:rsidRPr="00FC39D3">
              <w:rPr>
                <w:rFonts w:cstheme="minorHAnsi"/>
                <w:b/>
                <w:bCs/>
                <w:sz w:val="24"/>
                <w:szCs w:val="24"/>
              </w:rPr>
              <w:t>Améliorer la prise en charge des produits et valoriser la qualité assurée par le producteur (transport, manipulation, opérations de tri, enregistrement, traçabilité commerciale, stockage) </w:t>
            </w:r>
          </w:p>
          <w:p w14:paraId="1BE71655" w14:textId="77777777" w:rsidR="00FC39D3" w:rsidRPr="00FC39D3" w:rsidRDefault="00FC39D3" w:rsidP="00531A77">
            <w:pPr>
              <w:rPr>
                <w:rFonts w:cstheme="minorHAnsi"/>
                <w:b/>
                <w:bCs/>
                <w:sz w:val="24"/>
                <w:szCs w:val="24"/>
                <w:u w:val="single"/>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0B5076D3" w14:textId="77777777" w:rsidR="00FC39D3" w:rsidRPr="00FC39D3" w:rsidRDefault="00FC39D3" w:rsidP="00531A77">
            <w:pPr>
              <w:rPr>
                <w:rFonts w:cstheme="minorHAnsi"/>
                <w:sz w:val="24"/>
                <w:szCs w:val="24"/>
              </w:rPr>
            </w:pPr>
            <w:r w:rsidRPr="00FC39D3">
              <w:rPr>
                <w:rFonts w:cstheme="minorHAnsi"/>
                <w:sz w:val="24"/>
                <w:szCs w:val="24"/>
              </w:rPr>
              <w:t>Équipements, matériels permettant la prévision des apports</w:t>
            </w:r>
          </w:p>
        </w:tc>
      </w:tr>
      <w:tr w:rsidR="00FC39D3" w:rsidRPr="00F61320" w14:paraId="274414B0" w14:textId="77777777" w:rsidTr="00531A77">
        <w:tc>
          <w:tcPr>
            <w:tcW w:w="3544" w:type="dxa"/>
            <w:vMerge/>
            <w:tcBorders>
              <w:top w:val="single" w:sz="4" w:space="0" w:color="000000"/>
              <w:left w:val="single" w:sz="4" w:space="0" w:color="000000"/>
              <w:bottom w:val="single" w:sz="4" w:space="0" w:color="000000"/>
            </w:tcBorders>
            <w:shd w:val="clear" w:color="auto" w:fill="auto"/>
          </w:tcPr>
          <w:p w14:paraId="636E1EF7"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12A6E24B" w14:textId="77777777" w:rsidR="00FC39D3" w:rsidRPr="00FC39D3" w:rsidRDefault="00FC39D3" w:rsidP="00531A77">
            <w:pPr>
              <w:rPr>
                <w:rFonts w:cstheme="minorHAnsi"/>
                <w:sz w:val="24"/>
                <w:szCs w:val="24"/>
              </w:rPr>
            </w:pPr>
            <w:r w:rsidRPr="00FC39D3">
              <w:rPr>
                <w:rFonts w:cstheme="minorHAnsi"/>
                <w:sz w:val="24"/>
                <w:szCs w:val="24"/>
              </w:rPr>
              <w:t>Équipements mutualisés de logistiques et de mise en réseau d'informations entre les ports</w:t>
            </w:r>
          </w:p>
        </w:tc>
      </w:tr>
      <w:tr w:rsidR="00FC39D3" w:rsidRPr="00F61320" w14:paraId="7C02A454" w14:textId="77777777" w:rsidTr="00531A77">
        <w:tc>
          <w:tcPr>
            <w:tcW w:w="3544" w:type="dxa"/>
            <w:vMerge/>
            <w:tcBorders>
              <w:top w:val="single" w:sz="4" w:space="0" w:color="000000"/>
              <w:left w:val="single" w:sz="4" w:space="0" w:color="000000"/>
              <w:bottom w:val="single" w:sz="4" w:space="0" w:color="000000"/>
            </w:tcBorders>
            <w:shd w:val="clear" w:color="auto" w:fill="auto"/>
          </w:tcPr>
          <w:p w14:paraId="79DA7BAD"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4DC79096" w14:textId="77777777" w:rsidR="00FC39D3" w:rsidRPr="00FC39D3" w:rsidRDefault="00FC39D3" w:rsidP="00531A77">
            <w:pPr>
              <w:rPr>
                <w:rFonts w:cstheme="minorHAnsi"/>
                <w:sz w:val="24"/>
                <w:szCs w:val="24"/>
              </w:rPr>
            </w:pPr>
            <w:r w:rsidRPr="00FC39D3">
              <w:rPr>
                <w:rFonts w:cstheme="minorHAnsi"/>
                <w:sz w:val="24"/>
                <w:szCs w:val="24"/>
              </w:rPr>
              <w:t>Équipements améliorant le tri (en termes de qualité et de rapidité) et démarches favorisant l'harmonisation des pratiques entre halles à marée</w:t>
            </w:r>
          </w:p>
        </w:tc>
      </w:tr>
      <w:tr w:rsidR="00FC39D3" w:rsidRPr="00F61320" w14:paraId="40B19900" w14:textId="77777777" w:rsidTr="00531A77">
        <w:trPr>
          <w:trHeight w:val="814"/>
        </w:trPr>
        <w:tc>
          <w:tcPr>
            <w:tcW w:w="3544" w:type="dxa"/>
            <w:vMerge/>
            <w:tcBorders>
              <w:top w:val="single" w:sz="4" w:space="0" w:color="000000"/>
              <w:left w:val="single" w:sz="4" w:space="0" w:color="000000"/>
              <w:bottom w:val="single" w:sz="4" w:space="0" w:color="000000"/>
            </w:tcBorders>
            <w:shd w:val="clear" w:color="auto" w:fill="auto"/>
          </w:tcPr>
          <w:p w14:paraId="0C67228E"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BA554C2" w14:textId="307FC511" w:rsidR="00FC39D3" w:rsidRPr="00FC39D3" w:rsidRDefault="00FC39D3" w:rsidP="00531A77">
            <w:pPr>
              <w:rPr>
                <w:rFonts w:cstheme="minorHAnsi"/>
                <w:sz w:val="24"/>
                <w:szCs w:val="24"/>
              </w:rPr>
            </w:pPr>
            <w:r w:rsidRPr="00FC39D3">
              <w:rPr>
                <w:rFonts w:cstheme="minorHAnsi"/>
                <w:sz w:val="24"/>
                <w:szCs w:val="24"/>
              </w:rPr>
              <w:t>Aménagements de locaux, équipements et matériels pour la manipulation et le stockage des produits permettant de préserver leur qualité</w:t>
            </w:r>
          </w:p>
        </w:tc>
      </w:tr>
      <w:tr w:rsidR="00FC39D3" w:rsidRPr="00F61320" w14:paraId="7391A736" w14:textId="77777777" w:rsidTr="00531A77">
        <w:tc>
          <w:tcPr>
            <w:tcW w:w="3544" w:type="dxa"/>
            <w:vMerge/>
            <w:tcBorders>
              <w:top w:val="single" w:sz="4" w:space="0" w:color="000000"/>
              <w:left w:val="single" w:sz="4" w:space="0" w:color="000000"/>
              <w:bottom w:val="single" w:sz="4" w:space="0" w:color="000000"/>
            </w:tcBorders>
            <w:shd w:val="clear" w:color="auto" w:fill="auto"/>
          </w:tcPr>
          <w:p w14:paraId="78477F05"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9E0E3D7" w14:textId="77777777" w:rsidR="00FC39D3" w:rsidRPr="00FC39D3" w:rsidRDefault="00FC39D3" w:rsidP="00531A77">
            <w:pPr>
              <w:rPr>
                <w:rFonts w:cstheme="minorHAnsi"/>
                <w:sz w:val="24"/>
                <w:szCs w:val="24"/>
              </w:rPr>
            </w:pPr>
            <w:r w:rsidRPr="00FC39D3">
              <w:rPr>
                <w:rFonts w:cstheme="minorHAnsi"/>
                <w:sz w:val="24"/>
                <w:szCs w:val="24"/>
              </w:rPr>
              <w:t>Infrastructures, aménagements de locaux équipements et matériels de manutention pour faciliter les opérations de débarquement et en réduire la durée.</w:t>
            </w:r>
          </w:p>
        </w:tc>
      </w:tr>
      <w:tr w:rsidR="00FC39D3" w:rsidRPr="00F61320" w14:paraId="36EC49FD" w14:textId="77777777" w:rsidTr="00531A77">
        <w:tc>
          <w:tcPr>
            <w:tcW w:w="3544" w:type="dxa"/>
            <w:vMerge/>
            <w:tcBorders>
              <w:top w:val="single" w:sz="4" w:space="0" w:color="000000"/>
              <w:left w:val="single" w:sz="4" w:space="0" w:color="000000"/>
              <w:bottom w:val="single" w:sz="4" w:space="0" w:color="000000"/>
            </w:tcBorders>
            <w:shd w:val="clear" w:color="auto" w:fill="auto"/>
          </w:tcPr>
          <w:p w14:paraId="35C8C957"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72E0D8DB" w14:textId="77777777" w:rsidR="00FC39D3" w:rsidRPr="00FC39D3" w:rsidRDefault="00FC39D3" w:rsidP="00531A77">
            <w:pPr>
              <w:rPr>
                <w:rFonts w:cstheme="minorHAnsi"/>
                <w:sz w:val="24"/>
                <w:szCs w:val="24"/>
              </w:rPr>
            </w:pPr>
            <w:r w:rsidRPr="00FC39D3">
              <w:rPr>
                <w:rFonts w:cstheme="minorHAnsi"/>
                <w:sz w:val="24"/>
                <w:szCs w:val="24"/>
              </w:rPr>
              <w:t xml:space="preserve">Aménagements de locaux, équipements et matériels pour l'enregistrement des captures au débarquement, leur pesée (dont système informatique et logiciel), la diffusion de l'information et la mise en œuvre de </w:t>
            </w:r>
            <w:proofErr w:type="gramStart"/>
            <w:r w:rsidRPr="00FC39D3">
              <w:rPr>
                <w:rFonts w:cstheme="minorHAnsi"/>
                <w:sz w:val="24"/>
                <w:szCs w:val="24"/>
              </w:rPr>
              <w:t>la  traçabilité</w:t>
            </w:r>
            <w:proofErr w:type="gramEnd"/>
            <w:r w:rsidRPr="00FC39D3">
              <w:rPr>
                <w:rFonts w:cstheme="minorHAnsi"/>
                <w:sz w:val="24"/>
                <w:szCs w:val="24"/>
              </w:rPr>
              <w:t xml:space="preserve"> des captures commerciales</w:t>
            </w:r>
          </w:p>
        </w:tc>
      </w:tr>
      <w:tr w:rsidR="00FC39D3" w:rsidRPr="00F61320" w14:paraId="5895C8CC" w14:textId="77777777" w:rsidTr="00531A77">
        <w:tc>
          <w:tcPr>
            <w:tcW w:w="3544" w:type="dxa"/>
            <w:vMerge/>
            <w:tcBorders>
              <w:top w:val="single" w:sz="4" w:space="0" w:color="000000"/>
              <w:left w:val="single" w:sz="4" w:space="0" w:color="000000"/>
              <w:bottom w:val="single" w:sz="4" w:space="0" w:color="000000"/>
            </w:tcBorders>
            <w:shd w:val="clear" w:color="auto" w:fill="auto"/>
          </w:tcPr>
          <w:p w14:paraId="21DF2F47"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0A256B65" w14:textId="77777777" w:rsidR="00FC39D3" w:rsidRPr="00FC39D3" w:rsidRDefault="00FC39D3" w:rsidP="00531A77">
            <w:pPr>
              <w:rPr>
                <w:rFonts w:cstheme="minorHAnsi"/>
                <w:b/>
                <w:bCs/>
                <w:sz w:val="24"/>
                <w:szCs w:val="24"/>
              </w:rPr>
            </w:pPr>
            <w:r w:rsidRPr="00FC39D3">
              <w:rPr>
                <w:rFonts w:cstheme="minorHAnsi"/>
                <w:sz w:val="24"/>
                <w:szCs w:val="24"/>
              </w:rPr>
              <w:t>Aménagements de locaux, équipements d'amélioration des conditions sanitaires et d'hygiène</w:t>
            </w:r>
          </w:p>
        </w:tc>
      </w:tr>
      <w:tr w:rsidR="00FC39D3" w:rsidRPr="00F61320" w14:paraId="1BAB48DD" w14:textId="77777777" w:rsidTr="00531A77">
        <w:trPr>
          <w:trHeight w:val="802"/>
        </w:trPr>
        <w:tc>
          <w:tcPr>
            <w:tcW w:w="3544" w:type="dxa"/>
            <w:vMerge w:val="restart"/>
            <w:tcBorders>
              <w:top w:val="single" w:sz="4" w:space="0" w:color="000000"/>
              <w:left w:val="single" w:sz="4" w:space="0" w:color="000000"/>
              <w:bottom w:val="single" w:sz="4" w:space="0" w:color="000000"/>
            </w:tcBorders>
            <w:shd w:val="clear" w:color="auto" w:fill="auto"/>
          </w:tcPr>
          <w:p w14:paraId="0545226A" w14:textId="77777777" w:rsidR="00FC39D3" w:rsidRPr="00FC39D3" w:rsidRDefault="00FC39D3" w:rsidP="00531A77">
            <w:pPr>
              <w:rPr>
                <w:rFonts w:cstheme="minorHAnsi"/>
                <w:b/>
                <w:bCs/>
                <w:sz w:val="24"/>
                <w:szCs w:val="24"/>
              </w:rPr>
            </w:pPr>
          </w:p>
          <w:p w14:paraId="4845E9FD" w14:textId="77777777" w:rsidR="00FC39D3" w:rsidRPr="00FC39D3" w:rsidRDefault="00FC39D3" w:rsidP="00531A77">
            <w:pPr>
              <w:rPr>
                <w:rFonts w:cstheme="minorHAnsi"/>
                <w:b/>
                <w:bCs/>
                <w:sz w:val="24"/>
                <w:szCs w:val="24"/>
              </w:rPr>
            </w:pPr>
          </w:p>
          <w:p w14:paraId="3D2E7291" w14:textId="77777777" w:rsidR="00FC39D3" w:rsidRPr="00FC39D3" w:rsidRDefault="00FC39D3" w:rsidP="00531A77">
            <w:pPr>
              <w:rPr>
                <w:rFonts w:cstheme="minorHAnsi"/>
                <w:b/>
                <w:bCs/>
                <w:sz w:val="24"/>
                <w:szCs w:val="24"/>
              </w:rPr>
            </w:pPr>
          </w:p>
          <w:p w14:paraId="39EDEE7B" w14:textId="77777777" w:rsidR="00FC39D3" w:rsidRPr="00FC39D3" w:rsidRDefault="00FC39D3" w:rsidP="00531A77">
            <w:pPr>
              <w:rPr>
                <w:rFonts w:cstheme="minorHAnsi"/>
                <w:b/>
                <w:bCs/>
                <w:sz w:val="24"/>
                <w:szCs w:val="24"/>
              </w:rPr>
            </w:pPr>
          </w:p>
          <w:p w14:paraId="77E2BB4C" w14:textId="77777777" w:rsidR="00FC39D3" w:rsidRPr="00FC39D3" w:rsidRDefault="00FC39D3" w:rsidP="00531A77">
            <w:pPr>
              <w:rPr>
                <w:rFonts w:cstheme="minorHAnsi"/>
                <w:sz w:val="24"/>
                <w:szCs w:val="24"/>
              </w:rPr>
            </w:pPr>
            <w:r w:rsidRPr="00FC39D3">
              <w:rPr>
                <w:rFonts w:cstheme="minorHAnsi"/>
                <w:b/>
                <w:bCs/>
                <w:sz w:val="24"/>
                <w:szCs w:val="24"/>
              </w:rPr>
              <w:t>Favoriser la transition écologique des ports et de manière générale réduire l’incidence des activités portuaires sur l’environnement</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503851E9" w14:textId="77777777" w:rsidR="00FC39D3" w:rsidRPr="00FC39D3" w:rsidRDefault="00FC39D3" w:rsidP="00531A77">
            <w:pPr>
              <w:rPr>
                <w:rFonts w:cstheme="minorHAnsi"/>
                <w:sz w:val="24"/>
                <w:szCs w:val="24"/>
              </w:rPr>
            </w:pPr>
            <w:r w:rsidRPr="00FC39D3">
              <w:rPr>
                <w:rFonts w:cstheme="minorHAnsi"/>
                <w:sz w:val="24"/>
                <w:szCs w:val="24"/>
              </w:rPr>
              <w:t xml:space="preserve">Équipements et matériels permettant de réduire les consommations énergétiques et d’eau dans les ports et de réduire l’émission de gaz à effets de serre </w:t>
            </w:r>
          </w:p>
        </w:tc>
      </w:tr>
      <w:tr w:rsidR="00FC39D3" w:rsidRPr="00F61320" w14:paraId="3D63D249" w14:textId="77777777" w:rsidTr="00531A77">
        <w:trPr>
          <w:trHeight w:val="140"/>
        </w:trPr>
        <w:tc>
          <w:tcPr>
            <w:tcW w:w="3544" w:type="dxa"/>
            <w:vMerge/>
            <w:tcBorders>
              <w:top w:val="single" w:sz="4" w:space="0" w:color="000000"/>
              <w:left w:val="single" w:sz="4" w:space="0" w:color="000000"/>
              <w:bottom w:val="single" w:sz="4" w:space="0" w:color="000000"/>
            </w:tcBorders>
            <w:shd w:val="clear" w:color="auto" w:fill="auto"/>
          </w:tcPr>
          <w:p w14:paraId="15170B5F"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301C011F" w14:textId="77777777" w:rsidR="00FC39D3" w:rsidRPr="00FC39D3" w:rsidRDefault="00FC39D3" w:rsidP="00531A77">
            <w:pPr>
              <w:rPr>
                <w:rFonts w:cstheme="minorHAnsi"/>
                <w:sz w:val="24"/>
                <w:szCs w:val="24"/>
              </w:rPr>
            </w:pPr>
            <w:r w:rsidRPr="00FC39D3">
              <w:rPr>
                <w:rFonts w:cstheme="minorHAnsi"/>
                <w:sz w:val="24"/>
                <w:szCs w:val="24"/>
              </w:rPr>
              <w:t>Équipements et matériels utilisant des sources d'énergie renouvelables</w:t>
            </w:r>
          </w:p>
        </w:tc>
      </w:tr>
      <w:tr w:rsidR="00FC39D3" w:rsidRPr="00F61320" w14:paraId="7E75CD8B" w14:textId="77777777" w:rsidTr="00531A77">
        <w:trPr>
          <w:trHeight w:val="568"/>
        </w:trPr>
        <w:tc>
          <w:tcPr>
            <w:tcW w:w="3544" w:type="dxa"/>
            <w:vMerge/>
            <w:tcBorders>
              <w:top w:val="single" w:sz="4" w:space="0" w:color="000000"/>
              <w:left w:val="single" w:sz="4" w:space="0" w:color="000000"/>
              <w:bottom w:val="single" w:sz="4" w:space="0" w:color="000000"/>
            </w:tcBorders>
            <w:shd w:val="clear" w:color="auto" w:fill="auto"/>
          </w:tcPr>
          <w:p w14:paraId="3987140F"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0E195F9D" w14:textId="77777777" w:rsidR="00FC39D3" w:rsidRPr="00FC39D3" w:rsidRDefault="00FC39D3" w:rsidP="00531A77">
            <w:pPr>
              <w:rPr>
                <w:rFonts w:cstheme="minorHAnsi"/>
                <w:sz w:val="24"/>
                <w:szCs w:val="24"/>
              </w:rPr>
            </w:pPr>
            <w:r w:rsidRPr="00FC39D3">
              <w:rPr>
                <w:rFonts w:cstheme="minorHAnsi"/>
                <w:sz w:val="24"/>
                <w:szCs w:val="24"/>
              </w:rPr>
              <w:t>Matériels d’exploitation utilisant des matériaux bio sourcés ou biodégradables</w:t>
            </w:r>
          </w:p>
        </w:tc>
      </w:tr>
      <w:tr w:rsidR="00FC39D3" w:rsidRPr="00F61320" w14:paraId="634C528D" w14:textId="77777777" w:rsidTr="00531A77">
        <w:trPr>
          <w:trHeight w:val="496"/>
        </w:trPr>
        <w:tc>
          <w:tcPr>
            <w:tcW w:w="3544" w:type="dxa"/>
            <w:vMerge/>
            <w:tcBorders>
              <w:top w:val="single" w:sz="4" w:space="0" w:color="000000"/>
              <w:left w:val="single" w:sz="4" w:space="0" w:color="000000"/>
              <w:bottom w:val="single" w:sz="4" w:space="0" w:color="000000"/>
            </w:tcBorders>
            <w:shd w:val="clear" w:color="auto" w:fill="auto"/>
          </w:tcPr>
          <w:p w14:paraId="085B4097"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2FC99455" w14:textId="77777777" w:rsidR="00FC39D3" w:rsidRPr="00FC39D3" w:rsidRDefault="00FC39D3" w:rsidP="00531A77">
            <w:pPr>
              <w:rPr>
                <w:rFonts w:cstheme="minorHAnsi"/>
                <w:sz w:val="24"/>
                <w:szCs w:val="24"/>
              </w:rPr>
            </w:pPr>
            <w:r w:rsidRPr="00FC39D3">
              <w:rPr>
                <w:rFonts w:cstheme="minorHAnsi"/>
                <w:sz w:val="24"/>
                <w:szCs w:val="24"/>
              </w:rPr>
              <w:t>Équipements de traitement, de tri et de valorisation des déchets et des effluents</w:t>
            </w:r>
          </w:p>
        </w:tc>
      </w:tr>
      <w:tr w:rsidR="00FC39D3" w:rsidRPr="00F61320" w14:paraId="6BB49B18" w14:textId="77777777" w:rsidTr="00531A77">
        <w:trPr>
          <w:trHeight w:val="140"/>
        </w:trPr>
        <w:tc>
          <w:tcPr>
            <w:tcW w:w="3544" w:type="dxa"/>
            <w:vMerge/>
            <w:tcBorders>
              <w:top w:val="single" w:sz="4" w:space="0" w:color="000000"/>
              <w:left w:val="single" w:sz="4" w:space="0" w:color="000000"/>
              <w:bottom w:val="single" w:sz="4" w:space="0" w:color="000000"/>
            </w:tcBorders>
            <w:shd w:val="clear" w:color="auto" w:fill="auto"/>
          </w:tcPr>
          <w:p w14:paraId="0207C49E"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7F0E8942" w14:textId="77777777" w:rsidR="00FC39D3" w:rsidRPr="00FC39D3" w:rsidRDefault="00FC39D3" w:rsidP="00531A77">
            <w:pPr>
              <w:rPr>
                <w:rFonts w:cstheme="minorHAnsi"/>
                <w:sz w:val="24"/>
                <w:szCs w:val="24"/>
              </w:rPr>
            </w:pPr>
            <w:r w:rsidRPr="00FC39D3">
              <w:rPr>
                <w:rFonts w:cstheme="minorHAnsi"/>
                <w:sz w:val="24"/>
                <w:szCs w:val="24"/>
              </w:rPr>
              <w:t>Équipements de collecte et de traitement des effluents (dont réseaux).</w:t>
            </w:r>
          </w:p>
        </w:tc>
      </w:tr>
      <w:tr w:rsidR="00FC39D3" w:rsidRPr="00F61320" w14:paraId="00336FB0" w14:textId="77777777" w:rsidTr="00531A77">
        <w:trPr>
          <w:trHeight w:val="544"/>
        </w:trPr>
        <w:tc>
          <w:tcPr>
            <w:tcW w:w="3544" w:type="dxa"/>
            <w:vMerge/>
            <w:tcBorders>
              <w:top w:val="single" w:sz="4" w:space="0" w:color="000000"/>
              <w:left w:val="single" w:sz="4" w:space="0" w:color="000000"/>
              <w:bottom w:val="single" w:sz="4" w:space="0" w:color="000000"/>
            </w:tcBorders>
            <w:shd w:val="clear" w:color="auto" w:fill="auto"/>
          </w:tcPr>
          <w:p w14:paraId="0AAECAB4" w14:textId="77777777" w:rsidR="00FC39D3" w:rsidRPr="00FC39D3" w:rsidRDefault="00FC39D3" w:rsidP="00531A77">
            <w:pPr>
              <w:rPr>
                <w:rFonts w:cstheme="minorHAnsi"/>
                <w:sz w:val="24"/>
                <w:szCs w:val="24"/>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6EA30CEA" w14:textId="77777777" w:rsidR="00FC39D3" w:rsidRPr="00FC39D3" w:rsidRDefault="00FC39D3" w:rsidP="00531A77">
            <w:pPr>
              <w:rPr>
                <w:rFonts w:cstheme="minorHAnsi"/>
                <w:b/>
                <w:bCs/>
                <w:sz w:val="24"/>
                <w:szCs w:val="24"/>
                <w:u w:val="single"/>
              </w:rPr>
            </w:pPr>
            <w:r w:rsidRPr="00FC39D3">
              <w:rPr>
                <w:rFonts w:cstheme="minorHAnsi"/>
                <w:sz w:val="24"/>
                <w:szCs w:val="24"/>
              </w:rPr>
              <w:t>Station d'avitaillement de biocarburant et hydrogène ou autre énergie renouvelable</w:t>
            </w:r>
          </w:p>
        </w:tc>
      </w:tr>
      <w:tr w:rsidR="00FC39D3" w:rsidRPr="00F61320" w14:paraId="7CD8F2BB" w14:textId="77777777" w:rsidTr="00531A77">
        <w:trPr>
          <w:trHeight w:val="544"/>
        </w:trPr>
        <w:tc>
          <w:tcPr>
            <w:tcW w:w="3544" w:type="dxa"/>
            <w:vMerge w:val="restart"/>
            <w:tcBorders>
              <w:top w:val="single" w:sz="4" w:space="0" w:color="000000"/>
              <w:left w:val="single" w:sz="4" w:space="0" w:color="000000"/>
            </w:tcBorders>
            <w:shd w:val="clear" w:color="auto" w:fill="auto"/>
          </w:tcPr>
          <w:p w14:paraId="50505E05" w14:textId="77777777" w:rsidR="00FC39D3" w:rsidRPr="00FC39D3" w:rsidRDefault="00FC39D3" w:rsidP="00531A77">
            <w:pPr>
              <w:rPr>
                <w:rFonts w:cstheme="minorHAnsi"/>
                <w:sz w:val="24"/>
                <w:szCs w:val="24"/>
              </w:rPr>
            </w:pPr>
            <w:r w:rsidRPr="00FC39D3">
              <w:rPr>
                <w:rFonts w:cstheme="minorHAnsi"/>
                <w:b/>
                <w:bCs/>
                <w:sz w:val="24"/>
                <w:szCs w:val="24"/>
              </w:rPr>
              <w:t>Favoriser l’attractivité du secteur de la pêche en améliorant les conditions de travail et de sécurité sur les ports de pêche</w:t>
            </w: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3633D0AB" w14:textId="77777777" w:rsidR="00FC39D3" w:rsidRPr="00FC39D3" w:rsidRDefault="00FC39D3" w:rsidP="00531A77">
            <w:pPr>
              <w:rPr>
                <w:rFonts w:cstheme="minorHAnsi"/>
                <w:b/>
                <w:bCs/>
                <w:sz w:val="24"/>
                <w:szCs w:val="24"/>
                <w:u w:val="single"/>
              </w:rPr>
            </w:pPr>
            <w:r w:rsidRPr="00FC39D3">
              <w:rPr>
                <w:rFonts w:cstheme="minorHAnsi"/>
                <w:sz w:val="24"/>
                <w:szCs w:val="24"/>
              </w:rPr>
              <w:t>Bâtiments, aménagements de locaux et équipements de stockage du matériel de pêche</w:t>
            </w:r>
          </w:p>
        </w:tc>
      </w:tr>
      <w:tr w:rsidR="00FC39D3" w:rsidRPr="00F61320" w14:paraId="158B7E8D" w14:textId="77777777" w:rsidTr="005B4828">
        <w:trPr>
          <w:trHeight w:val="644"/>
        </w:trPr>
        <w:tc>
          <w:tcPr>
            <w:tcW w:w="3544" w:type="dxa"/>
            <w:vMerge/>
            <w:tcBorders>
              <w:left w:val="single" w:sz="4" w:space="0" w:color="000000"/>
              <w:bottom w:val="single" w:sz="4" w:space="0" w:color="000000"/>
            </w:tcBorders>
            <w:shd w:val="clear" w:color="auto" w:fill="auto"/>
          </w:tcPr>
          <w:p w14:paraId="29E4DC22" w14:textId="77777777" w:rsidR="00FC39D3" w:rsidRPr="00FC39D3" w:rsidRDefault="00FC39D3" w:rsidP="00531A77">
            <w:pPr>
              <w:rPr>
                <w:rFonts w:cstheme="minorHAnsi"/>
                <w:b/>
                <w:bCs/>
                <w:sz w:val="24"/>
                <w:szCs w:val="24"/>
                <w:u w:val="single"/>
              </w:rPr>
            </w:pPr>
          </w:p>
        </w:tc>
        <w:tc>
          <w:tcPr>
            <w:tcW w:w="6135" w:type="dxa"/>
            <w:tcBorders>
              <w:top w:val="single" w:sz="4" w:space="0" w:color="000000"/>
              <w:left w:val="single" w:sz="4" w:space="0" w:color="000000"/>
              <w:bottom w:val="single" w:sz="4" w:space="0" w:color="000000"/>
              <w:right w:val="single" w:sz="4" w:space="0" w:color="000000"/>
            </w:tcBorders>
            <w:shd w:val="clear" w:color="auto" w:fill="auto"/>
          </w:tcPr>
          <w:p w14:paraId="4BDDC2EB" w14:textId="77777777" w:rsidR="00FC39D3" w:rsidRPr="00FC39D3" w:rsidRDefault="00FC39D3" w:rsidP="00531A77">
            <w:pPr>
              <w:rPr>
                <w:rFonts w:cstheme="minorHAnsi"/>
                <w:sz w:val="24"/>
                <w:szCs w:val="24"/>
              </w:rPr>
            </w:pPr>
            <w:r w:rsidRPr="00FC39D3">
              <w:rPr>
                <w:rFonts w:cstheme="minorHAnsi"/>
                <w:sz w:val="24"/>
                <w:szCs w:val="24"/>
              </w:rPr>
              <w:t>Bâtiments, aménagements de locaux équipements et matériels pour améliorer les conditions de sécurité et de travail des usagers de la place portuaire (y compris lors des opérations d’embarquement/débarquement et de mise à terre des apports)</w:t>
            </w:r>
          </w:p>
        </w:tc>
      </w:tr>
    </w:tbl>
    <w:p w14:paraId="70EBBB22" w14:textId="499F56B1" w:rsidR="0034325E" w:rsidRDefault="0034325E" w:rsidP="00165BDE">
      <w:pPr>
        <w:spacing w:after="0" w:line="240" w:lineRule="auto"/>
        <w:jc w:val="both"/>
        <w:rPr>
          <w:strike/>
          <w:sz w:val="24"/>
          <w:szCs w:val="24"/>
        </w:rPr>
      </w:pPr>
    </w:p>
    <w:p w14:paraId="7A3CD209" w14:textId="4BD1296A" w:rsidR="00CD117C" w:rsidRDefault="00CD117C" w:rsidP="00CD117C">
      <w:pPr>
        <w:spacing w:after="120" w:line="240" w:lineRule="auto"/>
        <w:ind w:firstLine="709"/>
        <w:jc w:val="both"/>
        <w:rPr>
          <w:b/>
          <w:bCs/>
          <w:sz w:val="24"/>
          <w:szCs w:val="24"/>
        </w:rPr>
      </w:pPr>
      <w:r w:rsidRPr="00940237">
        <w:rPr>
          <w:b/>
          <w:bCs/>
          <w:sz w:val="24"/>
          <w:szCs w:val="24"/>
        </w:rPr>
        <w:t>C</w:t>
      </w:r>
      <w:r>
        <w:rPr>
          <w:b/>
          <w:bCs/>
          <w:sz w:val="24"/>
          <w:szCs w:val="24"/>
        </w:rPr>
        <w:t>/</w:t>
      </w:r>
      <w:r w:rsidRPr="00940237">
        <w:rPr>
          <w:b/>
          <w:bCs/>
          <w:sz w:val="24"/>
          <w:szCs w:val="24"/>
        </w:rPr>
        <w:t xml:space="preserve">Dépenses </w:t>
      </w:r>
    </w:p>
    <w:p w14:paraId="46BAA06C" w14:textId="6E907362" w:rsidR="00AB4442" w:rsidRPr="00684039" w:rsidRDefault="00AB4442" w:rsidP="003D7805">
      <w:pPr>
        <w:jc w:val="both"/>
        <w:rPr>
          <w:b/>
          <w:bCs/>
          <w:sz w:val="24"/>
          <w:szCs w:val="24"/>
        </w:rPr>
      </w:pPr>
      <w:r w:rsidRPr="00684039">
        <w:rPr>
          <w:b/>
          <w:bCs/>
          <w:sz w:val="24"/>
          <w:szCs w:val="24"/>
          <w:u w:val="single"/>
        </w:rPr>
        <w:t>Nature des dépenses éligibles :</w:t>
      </w:r>
      <w:r w:rsidRPr="00684039">
        <w:rPr>
          <w:b/>
          <w:bCs/>
          <w:sz w:val="24"/>
          <w:szCs w:val="24"/>
        </w:rPr>
        <w:t xml:space="preserve"> </w:t>
      </w:r>
      <w:r w:rsidRPr="00684039">
        <w:rPr>
          <w:sz w:val="24"/>
          <w:szCs w:val="24"/>
        </w:rPr>
        <w:t xml:space="preserve">Sont éligibles à cette mesure, les investissements matériels et immatériels en vue de répondre aux </w:t>
      </w:r>
      <w:r w:rsidR="00684039">
        <w:rPr>
          <w:sz w:val="24"/>
          <w:szCs w:val="24"/>
        </w:rPr>
        <w:t xml:space="preserve">besoins et </w:t>
      </w:r>
      <w:r w:rsidRPr="00684039">
        <w:rPr>
          <w:sz w:val="24"/>
          <w:szCs w:val="24"/>
        </w:rPr>
        <w:t xml:space="preserve">priorités identifiées </w:t>
      </w:r>
      <w:r w:rsidR="00F03EAC">
        <w:rPr>
          <w:sz w:val="24"/>
          <w:szCs w:val="24"/>
        </w:rPr>
        <w:t xml:space="preserve">régionalement </w:t>
      </w:r>
      <w:r w:rsidRPr="00684039">
        <w:rPr>
          <w:sz w:val="24"/>
          <w:szCs w:val="24"/>
        </w:rPr>
        <w:t>:</w:t>
      </w:r>
    </w:p>
    <w:p w14:paraId="770673A3" w14:textId="5457D95C" w:rsidR="00AB4442" w:rsidRPr="00F03EAC" w:rsidRDefault="00F03EAC" w:rsidP="003D7805">
      <w:pPr>
        <w:spacing w:after="0"/>
        <w:rPr>
          <w:sz w:val="24"/>
          <w:szCs w:val="24"/>
        </w:rPr>
      </w:pPr>
      <w:r w:rsidRPr="00F03EAC">
        <w:rPr>
          <w:b/>
          <w:bCs/>
          <w:sz w:val="24"/>
          <w:szCs w:val="24"/>
          <w:u w:val="single"/>
          <w:lang w:eastAsia="fr-FR"/>
        </w:rPr>
        <w:t xml:space="preserve">Améliorer </w:t>
      </w:r>
      <w:r w:rsidR="00AB4442" w:rsidRPr="00F03EAC">
        <w:rPr>
          <w:b/>
          <w:bCs/>
          <w:sz w:val="24"/>
          <w:szCs w:val="24"/>
          <w:u w:val="single"/>
          <w:lang w:eastAsia="fr-FR"/>
        </w:rPr>
        <w:t>la prise en charge des produits et valoriser la qualité assurée par le producteur (transport, manipulation, opérations de tri, enregistrement, traçabilité commerciale, stockage) :</w:t>
      </w:r>
    </w:p>
    <w:p w14:paraId="4D8F2C2D" w14:textId="070B5CD0" w:rsidR="00AB4442" w:rsidRDefault="00AB4442" w:rsidP="00F03EAC">
      <w:pPr>
        <w:numPr>
          <w:ilvl w:val="0"/>
          <w:numId w:val="18"/>
        </w:numPr>
        <w:tabs>
          <w:tab w:val="left" w:pos="0"/>
          <w:tab w:val="left" w:pos="80"/>
        </w:tabs>
        <w:suppressAutoHyphens/>
        <w:spacing w:after="0" w:line="240" w:lineRule="auto"/>
        <w:ind w:left="0" w:firstLine="0"/>
        <w:jc w:val="both"/>
        <w:rPr>
          <w:sz w:val="24"/>
          <w:szCs w:val="24"/>
        </w:rPr>
      </w:pPr>
      <w:r w:rsidRPr="00F03EAC">
        <w:rPr>
          <w:sz w:val="24"/>
          <w:szCs w:val="24"/>
        </w:rPr>
        <w:t>Etudes préalables, aménagements des infrastructures (pontons, passerelles) et équipements de transport et de manutention dans les ports pour faciliter, mécaniser et accélérer les opérations de débarquement et de tri : portiques, grue, convoyeurs, gerbeur, trieuse, calibreuse, tables de tri,</w:t>
      </w:r>
    </w:p>
    <w:p w14:paraId="089E9863" w14:textId="23D04895" w:rsidR="00AB4442" w:rsidRPr="00F03EAC" w:rsidRDefault="00AB4442" w:rsidP="00F03EAC">
      <w:pPr>
        <w:numPr>
          <w:ilvl w:val="0"/>
          <w:numId w:val="17"/>
        </w:numPr>
        <w:tabs>
          <w:tab w:val="left" w:pos="0"/>
          <w:tab w:val="left" w:pos="142"/>
        </w:tabs>
        <w:suppressAutoHyphens/>
        <w:spacing w:after="0" w:line="240" w:lineRule="auto"/>
        <w:ind w:left="0" w:firstLine="0"/>
        <w:jc w:val="both"/>
        <w:rPr>
          <w:sz w:val="24"/>
          <w:szCs w:val="24"/>
        </w:rPr>
      </w:pPr>
      <w:r w:rsidRPr="00F03EAC">
        <w:rPr>
          <w:sz w:val="24"/>
          <w:szCs w:val="24"/>
        </w:rPr>
        <w:t>Études préalables et équipements de stockage pour favoriser le maintien d'une qualité optimale : équipements de production de glace et système de réfrigération des locaux des halles à marée et des ateliers attenants permettant la mise en œuvre d’activités connexes, chambre froide, brumisateur, viviers, (et système de purification et de traitement de l’eau de mer), surgélateur, congélateur, système de nettoyage des produits …</w:t>
      </w:r>
      <w:r w:rsidR="00F03EAC">
        <w:rPr>
          <w:sz w:val="24"/>
          <w:szCs w:val="24"/>
        </w:rPr>
        <w:t>,</w:t>
      </w:r>
    </w:p>
    <w:p w14:paraId="7676F897" w14:textId="01BE9FE4" w:rsidR="00684039" w:rsidRPr="00F03EAC" w:rsidRDefault="00684039" w:rsidP="00F03EAC">
      <w:pPr>
        <w:numPr>
          <w:ilvl w:val="0"/>
          <w:numId w:val="17"/>
        </w:numPr>
        <w:tabs>
          <w:tab w:val="left" w:pos="0"/>
          <w:tab w:val="left" w:pos="142"/>
        </w:tabs>
        <w:suppressAutoHyphens/>
        <w:spacing w:after="0" w:line="240" w:lineRule="auto"/>
        <w:ind w:left="0" w:firstLine="0"/>
        <w:jc w:val="both"/>
        <w:rPr>
          <w:sz w:val="24"/>
          <w:szCs w:val="24"/>
        </w:rPr>
      </w:pPr>
      <w:r w:rsidRPr="00F03EAC">
        <w:rPr>
          <w:sz w:val="24"/>
          <w:szCs w:val="24"/>
        </w:rPr>
        <w:t>Études préalables et équipements pour l'enregistrement des captures au débarquement et la mise en œuvre de leur traçabilité</w:t>
      </w:r>
      <w:r w:rsidR="00F03EAC">
        <w:rPr>
          <w:sz w:val="24"/>
          <w:szCs w:val="24"/>
        </w:rPr>
        <w:t xml:space="preserve"> </w:t>
      </w:r>
      <w:r w:rsidRPr="00F03EAC">
        <w:rPr>
          <w:sz w:val="24"/>
          <w:szCs w:val="24"/>
        </w:rPr>
        <w:t>: études, matériel de manutention, de pesée, d'impression, matériel    informatique et logiciels...</w:t>
      </w:r>
    </w:p>
    <w:p w14:paraId="5818B131" w14:textId="77777777" w:rsidR="003D7805" w:rsidRPr="00F03EAC" w:rsidRDefault="003D7805" w:rsidP="00F03EAC">
      <w:pPr>
        <w:tabs>
          <w:tab w:val="left" w:pos="80"/>
          <w:tab w:val="left" w:pos="340"/>
        </w:tabs>
        <w:spacing w:after="0"/>
        <w:rPr>
          <w:b/>
          <w:bCs/>
          <w:sz w:val="24"/>
          <w:szCs w:val="24"/>
          <w:u w:val="single"/>
          <w:lang w:eastAsia="fr-FR"/>
        </w:rPr>
      </w:pPr>
    </w:p>
    <w:p w14:paraId="2E002AE4" w14:textId="352E9BB8" w:rsidR="00684039" w:rsidRPr="00F03EAC" w:rsidRDefault="00684039" w:rsidP="003D7805">
      <w:pPr>
        <w:tabs>
          <w:tab w:val="left" w:pos="80"/>
          <w:tab w:val="left" w:pos="340"/>
        </w:tabs>
        <w:spacing w:after="0"/>
        <w:rPr>
          <w:sz w:val="24"/>
          <w:szCs w:val="24"/>
        </w:rPr>
      </w:pPr>
      <w:r w:rsidRPr="00F03EAC">
        <w:rPr>
          <w:b/>
          <w:bCs/>
          <w:sz w:val="24"/>
          <w:szCs w:val="24"/>
          <w:u w:val="single"/>
          <w:lang w:eastAsia="fr-FR"/>
        </w:rPr>
        <w:t xml:space="preserve">Favoriser la transition écologique des ports et de manière générale réduire l’incidence des activités portuaires sur l’environnement </w:t>
      </w:r>
    </w:p>
    <w:p w14:paraId="577A2B18" w14:textId="78A10B5C" w:rsidR="00684039" w:rsidRPr="00F03EAC" w:rsidRDefault="00684039" w:rsidP="00684039">
      <w:pPr>
        <w:numPr>
          <w:ilvl w:val="0"/>
          <w:numId w:val="20"/>
        </w:numPr>
        <w:suppressAutoHyphens/>
        <w:spacing w:after="0" w:line="240" w:lineRule="auto"/>
        <w:ind w:left="0" w:firstLine="0"/>
        <w:jc w:val="both"/>
        <w:rPr>
          <w:sz w:val="24"/>
          <w:szCs w:val="24"/>
        </w:rPr>
      </w:pPr>
      <w:r w:rsidRPr="00F03EAC">
        <w:rPr>
          <w:sz w:val="24"/>
          <w:szCs w:val="24"/>
        </w:rPr>
        <w:t>Études préalables et investissements pour permettre la réduction de la consommation énergétique dans les ports (dont diagnostic énergétique, réhabilitation, isolation des bâtiments, démarche HQE...), la production d'énergie à partir de source d'énergie renouvelable</w:t>
      </w:r>
      <w:r w:rsidR="00F03EAC">
        <w:rPr>
          <w:sz w:val="24"/>
          <w:szCs w:val="24"/>
        </w:rPr>
        <w:t>,</w:t>
      </w:r>
    </w:p>
    <w:p w14:paraId="04D40F64" w14:textId="553DD0CA" w:rsidR="00684039" w:rsidRPr="00F03EAC" w:rsidRDefault="00684039" w:rsidP="00684039">
      <w:pPr>
        <w:numPr>
          <w:ilvl w:val="0"/>
          <w:numId w:val="20"/>
        </w:numPr>
        <w:suppressAutoHyphens/>
        <w:spacing w:after="0" w:line="240" w:lineRule="auto"/>
        <w:ind w:left="0" w:firstLine="0"/>
        <w:jc w:val="both"/>
        <w:rPr>
          <w:sz w:val="24"/>
          <w:szCs w:val="24"/>
        </w:rPr>
      </w:pPr>
      <w:r w:rsidRPr="00F03EAC">
        <w:rPr>
          <w:sz w:val="24"/>
          <w:szCs w:val="24"/>
        </w:rPr>
        <w:t>Études préalables et investissements dans des aménagements, matériel et actions permettant de réduire les consommations d'énergie, d'eau de diminuer et de traiter les effluents, les fumées et tout impact sur l'environnement ; Réhabilitation de stations d'avitaillement de carburant (pour éviter les fuites dans l'environnement), construction de station d'avitaillement et de distribution de carburant de substitution</w:t>
      </w:r>
      <w:r w:rsidR="00F03EAC">
        <w:rPr>
          <w:sz w:val="24"/>
          <w:szCs w:val="24"/>
        </w:rPr>
        <w:t>,</w:t>
      </w:r>
    </w:p>
    <w:p w14:paraId="565F105F" w14:textId="3F7FC5B3" w:rsidR="00684039" w:rsidRPr="00F03EAC" w:rsidRDefault="00684039" w:rsidP="00684039">
      <w:pPr>
        <w:numPr>
          <w:ilvl w:val="0"/>
          <w:numId w:val="20"/>
        </w:numPr>
        <w:suppressAutoHyphens/>
        <w:spacing w:after="0" w:line="240" w:lineRule="auto"/>
        <w:ind w:left="0" w:firstLine="0"/>
        <w:jc w:val="both"/>
        <w:rPr>
          <w:sz w:val="24"/>
          <w:szCs w:val="24"/>
        </w:rPr>
      </w:pPr>
      <w:r w:rsidRPr="00F03EAC">
        <w:rPr>
          <w:sz w:val="24"/>
          <w:szCs w:val="24"/>
        </w:rPr>
        <w:t xml:space="preserve">Études préalables et investissements dans des aménagements, matériel et actions permettant de réduire, trier, valoriser les déchets solides en provenance de la mer ou issus des activités portuaires (zone de stockage, compacteurs, système de recyclage …). Contenants criée innovants (matériaux recyclés ou biodégradables </w:t>
      </w:r>
      <w:proofErr w:type="gramStart"/>
      <w:r w:rsidRPr="00F03EAC">
        <w:rPr>
          <w:sz w:val="24"/>
          <w:szCs w:val="24"/>
        </w:rPr>
        <w:t>etc...</w:t>
      </w:r>
      <w:proofErr w:type="gramEnd"/>
      <w:r w:rsidRPr="00F03EAC">
        <w:rPr>
          <w:sz w:val="24"/>
          <w:szCs w:val="24"/>
        </w:rPr>
        <w:t>)</w:t>
      </w:r>
      <w:r w:rsidR="00F03EAC">
        <w:rPr>
          <w:sz w:val="24"/>
          <w:szCs w:val="24"/>
        </w:rPr>
        <w:t>.</w:t>
      </w:r>
    </w:p>
    <w:p w14:paraId="1803EA53" w14:textId="77777777" w:rsidR="00684039" w:rsidRPr="00F03EAC" w:rsidRDefault="00684039" w:rsidP="00F03EAC">
      <w:pPr>
        <w:spacing w:after="0"/>
        <w:rPr>
          <w:sz w:val="24"/>
          <w:szCs w:val="24"/>
        </w:rPr>
      </w:pPr>
    </w:p>
    <w:p w14:paraId="69413583" w14:textId="73FD7B5A" w:rsidR="00684039" w:rsidRPr="00F03EAC" w:rsidRDefault="00684039" w:rsidP="003D7805">
      <w:pPr>
        <w:spacing w:after="0"/>
        <w:rPr>
          <w:sz w:val="24"/>
          <w:szCs w:val="24"/>
        </w:rPr>
      </w:pPr>
      <w:bookmarkStart w:id="6" w:name="_Hlk136587078"/>
      <w:r w:rsidRPr="00F03EAC">
        <w:rPr>
          <w:b/>
          <w:bCs/>
          <w:sz w:val="24"/>
          <w:szCs w:val="24"/>
          <w:u w:val="single"/>
          <w:lang w:eastAsia="fr-FR"/>
        </w:rPr>
        <w:t>Améliorer</w:t>
      </w:r>
      <w:bookmarkEnd w:id="6"/>
      <w:r w:rsidRPr="00F03EAC">
        <w:rPr>
          <w:b/>
          <w:bCs/>
          <w:sz w:val="24"/>
          <w:szCs w:val="24"/>
          <w:u w:val="single"/>
          <w:lang w:eastAsia="fr-FR"/>
        </w:rPr>
        <w:t xml:space="preserve"> la compétitivité des entreprises de pêche et des activités complémentaires, en tirant partie de la transition écologique et du respect de l’obligation de débarquement, grâce à l’optimisation de l’organisation et des infrastructures portuaires régionales</w:t>
      </w:r>
    </w:p>
    <w:p w14:paraId="14BE2ABC" w14:textId="77777777" w:rsidR="00684039" w:rsidRPr="00F03EAC" w:rsidRDefault="00684039" w:rsidP="00684039">
      <w:pPr>
        <w:numPr>
          <w:ilvl w:val="0"/>
          <w:numId w:val="19"/>
        </w:numPr>
        <w:tabs>
          <w:tab w:val="left" w:pos="80"/>
        </w:tabs>
        <w:suppressAutoHyphens/>
        <w:spacing w:after="0" w:line="240" w:lineRule="auto"/>
        <w:ind w:left="0" w:hanging="5"/>
        <w:jc w:val="both"/>
        <w:rPr>
          <w:sz w:val="24"/>
          <w:szCs w:val="24"/>
          <w:lang w:eastAsia="fr-FR"/>
        </w:rPr>
      </w:pPr>
      <w:r w:rsidRPr="00F03EAC">
        <w:rPr>
          <w:sz w:val="24"/>
          <w:szCs w:val="24"/>
          <w:lang w:eastAsia="fr-FR"/>
        </w:rPr>
        <w:t>Études, préalables et investissements mutualisés dans le but de rationaliser les flux portuaires : optimisation logistique, aménagement de sites mutualisés pour répondre à l'obligation de débarquement</w:t>
      </w:r>
    </w:p>
    <w:p w14:paraId="5E7A285D" w14:textId="04F0FC2B" w:rsidR="00684039" w:rsidRPr="00F03EAC" w:rsidRDefault="00684039" w:rsidP="00684039">
      <w:pPr>
        <w:numPr>
          <w:ilvl w:val="0"/>
          <w:numId w:val="19"/>
        </w:numPr>
        <w:tabs>
          <w:tab w:val="left" w:pos="80"/>
        </w:tabs>
        <w:suppressAutoHyphens/>
        <w:spacing w:after="0" w:line="240" w:lineRule="auto"/>
        <w:ind w:left="0" w:hanging="5"/>
        <w:jc w:val="both"/>
        <w:rPr>
          <w:b/>
          <w:bCs/>
          <w:sz w:val="24"/>
          <w:szCs w:val="24"/>
          <w:u w:val="single"/>
          <w:lang w:eastAsia="fr-FR"/>
        </w:rPr>
      </w:pPr>
      <w:r w:rsidRPr="00F03EAC">
        <w:rPr>
          <w:sz w:val="24"/>
          <w:szCs w:val="24"/>
          <w:lang w:eastAsia="fr-FR"/>
        </w:rPr>
        <w:t>Démarches d'amélioration et d'harmonisation des pratiques dans les ports favorisant la qualité et le tri (études, audit, actions de concertation, préconisations, formation du personnel...)</w:t>
      </w:r>
    </w:p>
    <w:p w14:paraId="7E74F613" w14:textId="77777777" w:rsidR="00F03EAC" w:rsidRPr="00F03EAC" w:rsidRDefault="00F03EAC" w:rsidP="00F03EAC">
      <w:pPr>
        <w:tabs>
          <w:tab w:val="left" w:pos="80"/>
        </w:tabs>
        <w:suppressAutoHyphens/>
        <w:spacing w:after="0" w:line="240" w:lineRule="auto"/>
        <w:jc w:val="both"/>
        <w:rPr>
          <w:b/>
          <w:bCs/>
          <w:sz w:val="24"/>
          <w:szCs w:val="24"/>
          <w:u w:val="single"/>
          <w:lang w:eastAsia="fr-FR"/>
        </w:rPr>
      </w:pPr>
    </w:p>
    <w:p w14:paraId="5960264F" w14:textId="7D5D9333" w:rsidR="00684039" w:rsidRPr="00F03EAC" w:rsidRDefault="00684039" w:rsidP="003D7805">
      <w:pPr>
        <w:spacing w:after="0"/>
        <w:rPr>
          <w:sz w:val="24"/>
          <w:szCs w:val="24"/>
          <w:lang w:eastAsia="fr-FR"/>
        </w:rPr>
      </w:pPr>
      <w:r w:rsidRPr="00F03EAC">
        <w:rPr>
          <w:b/>
          <w:bCs/>
          <w:sz w:val="24"/>
          <w:szCs w:val="24"/>
          <w:u w:val="single"/>
          <w:lang w:eastAsia="fr-FR"/>
        </w:rPr>
        <w:t xml:space="preserve">Favoriser l’attractivité du secteur de la pêche en améliorant les conditions de travail et de sécurité sur les ports de pêche </w:t>
      </w:r>
    </w:p>
    <w:p w14:paraId="58AA93D1" w14:textId="63F7F5C4" w:rsidR="00684039" w:rsidRPr="00F03EAC" w:rsidRDefault="00684039" w:rsidP="00684039">
      <w:pPr>
        <w:numPr>
          <w:ilvl w:val="0"/>
          <w:numId w:val="19"/>
        </w:numPr>
        <w:suppressAutoHyphens/>
        <w:spacing w:after="0" w:line="240" w:lineRule="auto"/>
        <w:ind w:left="0" w:firstLine="0"/>
        <w:jc w:val="both"/>
        <w:rPr>
          <w:sz w:val="24"/>
          <w:szCs w:val="24"/>
          <w:lang w:eastAsia="fr-FR"/>
        </w:rPr>
      </w:pPr>
      <w:r w:rsidRPr="00F03EAC">
        <w:rPr>
          <w:sz w:val="24"/>
          <w:szCs w:val="24"/>
          <w:lang w:eastAsia="fr-FR"/>
        </w:rPr>
        <w:t xml:space="preserve">Études préalables et investissements dans des infrastructures et des équipements permettant d'améliorer la sécurité,  et les conditions de travail  des usagers et du personnel dans les ports : pour l'accostage des navires (quai, </w:t>
      </w:r>
      <w:r w:rsidR="00AB0ECB" w:rsidRPr="00F03EAC">
        <w:rPr>
          <w:sz w:val="24"/>
          <w:szCs w:val="24"/>
          <w:lang w:eastAsia="fr-FR"/>
        </w:rPr>
        <w:t>pontons, passerelles</w:t>
      </w:r>
      <w:r w:rsidRPr="00F03EAC">
        <w:rPr>
          <w:sz w:val="24"/>
          <w:szCs w:val="24"/>
          <w:lang w:eastAsia="fr-FR"/>
        </w:rPr>
        <w:t>, échelles , matériel de sécurité...), pour le stockage de leur matériel (bâtiments, aire de stockage des engins de pêche, matériel de manutention...), pour l'enregistrement et le stockage des produits (matériel et aire de stockage pour de nouveaux produits issus de l'obligation de débarquement  et zones de déchargement adaptées et réfrigérées...), matériel d’hygiène, vestiaires, protection individuelle... pour améliorer l’hygiène et les conditions de travail dans les ports</w:t>
      </w:r>
      <w:r w:rsidR="00F03EAC">
        <w:rPr>
          <w:sz w:val="24"/>
          <w:szCs w:val="24"/>
          <w:lang w:eastAsia="fr-FR"/>
        </w:rPr>
        <w:t>.</w:t>
      </w:r>
    </w:p>
    <w:p w14:paraId="0BF03061" w14:textId="6F4ADF75" w:rsidR="00AB4442" w:rsidRDefault="00AB4442" w:rsidP="006C1481">
      <w:pPr>
        <w:spacing w:after="120" w:line="240" w:lineRule="auto"/>
        <w:rPr>
          <w:b/>
          <w:sz w:val="24"/>
          <w:szCs w:val="24"/>
        </w:rPr>
      </w:pPr>
    </w:p>
    <w:p w14:paraId="266B8AA9" w14:textId="067A3908" w:rsidR="00684039" w:rsidRDefault="00684039" w:rsidP="00824A76">
      <w:pPr>
        <w:spacing w:after="120" w:line="240" w:lineRule="auto"/>
        <w:rPr>
          <w:sz w:val="24"/>
          <w:szCs w:val="24"/>
          <w:lang w:eastAsia="fr-FR"/>
        </w:rPr>
      </w:pPr>
      <w:r w:rsidRPr="003D7805">
        <w:rPr>
          <w:sz w:val="24"/>
          <w:szCs w:val="24"/>
          <w:lang w:eastAsia="fr-FR"/>
        </w:rPr>
        <w:t>Ne sont pas éligibles les aides à la construction de nouveaux ports</w:t>
      </w:r>
      <w:r w:rsidR="003D7805">
        <w:rPr>
          <w:sz w:val="24"/>
          <w:szCs w:val="24"/>
          <w:lang w:eastAsia="fr-FR"/>
        </w:rPr>
        <w:t xml:space="preserve"> de pêche</w:t>
      </w:r>
      <w:r w:rsidRPr="003D7805">
        <w:rPr>
          <w:sz w:val="24"/>
          <w:szCs w:val="24"/>
          <w:lang w:eastAsia="fr-FR"/>
        </w:rPr>
        <w:t>.</w:t>
      </w:r>
    </w:p>
    <w:p w14:paraId="19EAA02E" w14:textId="77777777" w:rsidR="003D7805" w:rsidRPr="003D7805" w:rsidRDefault="003D7805" w:rsidP="00824A76">
      <w:pPr>
        <w:spacing w:after="120" w:line="240" w:lineRule="auto"/>
        <w:rPr>
          <w:b/>
          <w:sz w:val="24"/>
          <w:szCs w:val="24"/>
        </w:rPr>
      </w:pPr>
    </w:p>
    <w:p w14:paraId="41CF4197" w14:textId="785B23DE" w:rsidR="006C1481" w:rsidRPr="006C11A0" w:rsidRDefault="009A1A59" w:rsidP="00D32D5E">
      <w:pPr>
        <w:suppressAutoHyphens/>
        <w:autoSpaceDN w:val="0"/>
        <w:spacing w:line="256" w:lineRule="auto"/>
        <w:ind w:firstLine="708"/>
        <w:jc w:val="both"/>
        <w:textAlignment w:val="baseline"/>
        <w:rPr>
          <w:b/>
          <w:sz w:val="32"/>
          <w:szCs w:val="32"/>
        </w:rPr>
      </w:pPr>
      <w:bookmarkStart w:id="7" w:name="_Hlk123205307"/>
      <w:r w:rsidRPr="006C11A0">
        <w:rPr>
          <w:b/>
          <w:sz w:val="32"/>
          <w:szCs w:val="32"/>
        </w:rPr>
        <w:t xml:space="preserve">4. </w:t>
      </w:r>
      <w:r w:rsidR="006C1481" w:rsidRPr="006C11A0">
        <w:rPr>
          <w:b/>
          <w:sz w:val="32"/>
          <w:szCs w:val="32"/>
        </w:rPr>
        <w:t xml:space="preserve">Critères de sélection  </w:t>
      </w:r>
      <w:bookmarkEnd w:id="7"/>
    </w:p>
    <w:p w14:paraId="599F9627" w14:textId="064CFA56" w:rsidR="00CD117C" w:rsidRPr="00BE0AE0" w:rsidRDefault="00CD117C" w:rsidP="00CD117C">
      <w:pPr>
        <w:spacing w:after="0"/>
        <w:jc w:val="both"/>
        <w:rPr>
          <w:rFonts w:cstheme="minorHAnsi"/>
          <w:sz w:val="24"/>
          <w:szCs w:val="24"/>
        </w:rPr>
      </w:pPr>
      <w:r w:rsidRPr="00BE0AE0">
        <w:rPr>
          <w:rFonts w:cstheme="minorHAnsi"/>
          <w:sz w:val="24"/>
          <w:szCs w:val="24"/>
        </w:rPr>
        <w:t xml:space="preserve">Toute action éligible porté par un bénéficiaire éligible, tels que définis </w:t>
      </w:r>
      <w:r w:rsidR="00684039">
        <w:rPr>
          <w:rFonts w:cstheme="minorHAnsi"/>
          <w:sz w:val="24"/>
          <w:szCs w:val="24"/>
        </w:rPr>
        <w:t>précédemment,</w:t>
      </w:r>
      <w:r w:rsidRPr="00BE0AE0">
        <w:rPr>
          <w:rFonts w:cstheme="minorHAnsi"/>
          <w:sz w:val="24"/>
          <w:szCs w:val="24"/>
        </w:rPr>
        <w:t xml:space="preserve"> peut bénéficier d’une aide du FEAMPA, dans la limite de l’enveloppe dédiée à cet appel à projets sur l’année 2023.</w:t>
      </w:r>
    </w:p>
    <w:p w14:paraId="5A504AE8" w14:textId="4D6C2E2D" w:rsidR="00CD117C" w:rsidRPr="00BE0AE0" w:rsidRDefault="00CD117C" w:rsidP="00CD117C">
      <w:pPr>
        <w:suppressAutoHyphens/>
        <w:autoSpaceDN w:val="0"/>
        <w:spacing w:line="256" w:lineRule="auto"/>
        <w:jc w:val="both"/>
        <w:textAlignment w:val="baseline"/>
        <w:rPr>
          <w:rFonts w:cstheme="minorHAnsi"/>
          <w:bCs/>
          <w:sz w:val="24"/>
          <w:szCs w:val="24"/>
        </w:rPr>
      </w:pPr>
      <w:r w:rsidRPr="00BE0AE0">
        <w:rPr>
          <w:rFonts w:cstheme="minorHAnsi"/>
          <w:bCs/>
          <w:sz w:val="24"/>
          <w:szCs w:val="24"/>
        </w:rPr>
        <w:t>Les dossiers sont notés selon la grille de notation validée en CNS du 01 juillet 2022</w:t>
      </w:r>
      <w:r w:rsidR="00684039">
        <w:rPr>
          <w:rFonts w:cstheme="minorHAnsi"/>
          <w:bCs/>
          <w:sz w:val="24"/>
          <w:szCs w:val="24"/>
        </w:rPr>
        <w:t>,</w:t>
      </w:r>
      <w:r w:rsidRPr="00BE0AE0">
        <w:rPr>
          <w:rFonts w:cstheme="minorHAnsi"/>
          <w:bCs/>
          <w:sz w:val="24"/>
          <w:szCs w:val="24"/>
        </w:rPr>
        <w:t xml:space="preserve"> figurant en annexe </w:t>
      </w:r>
      <w:r w:rsidR="00B94ABD">
        <w:rPr>
          <w:rFonts w:cstheme="minorHAnsi"/>
          <w:bCs/>
          <w:sz w:val="24"/>
          <w:szCs w:val="24"/>
        </w:rPr>
        <w:t xml:space="preserve">I </w:t>
      </w:r>
      <w:r w:rsidRPr="00BE0AE0">
        <w:rPr>
          <w:rFonts w:cstheme="minorHAnsi"/>
          <w:bCs/>
          <w:sz w:val="24"/>
          <w:szCs w:val="24"/>
        </w:rPr>
        <w:t xml:space="preserve">du présent appel à projets (note éliminatoire du dossier si elle est inférieure à </w:t>
      </w:r>
      <w:r>
        <w:rPr>
          <w:rFonts w:cstheme="minorHAnsi"/>
          <w:bCs/>
          <w:sz w:val="24"/>
          <w:szCs w:val="24"/>
        </w:rPr>
        <w:t>4</w:t>
      </w:r>
      <w:r w:rsidRPr="00BE0AE0">
        <w:rPr>
          <w:rFonts w:cstheme="minorHAnsi"/>
          <w:bCs/>
          <w:sz w:val="24"/>
          <w:szCs w:val="24"/>
        </w:rPr>
        <w:t>0/100).</w:t>
      </w:r>
    </w:p>
    <w:p w14:paraId="55567FF8" w14:textId="77777777" w:rsidR="00CD117C" w:rsidRPr="00BE0AE0" w:rsidRDefault="00CD117C" w:rsidP="00CD117C">
      <w:pPr>
        <w:suppressAutoHyphens/>
        <w:autoSpaceDN w:val="0"/>
        <w:spacing w:after="0" w:line="257" w:lineRule="auto"/>
        <w:jc w:val="both"/>
        <w:textAlignment w:val="baseline"/>
        <w:rPr>
          <w:rFonts w:cstheme="minorHAnsi"/>
          <w:b/>
          <w:sz w:val="24"/>
          <w:szCs w:val="24"/>
        </w:rPr>
      </w:pPr>
      <w:r w:rsidRPr="00BE0AE0">
        <w:rPr>
          <w:rFonts w:cstheme="minorHAnsi"/>
          <w:b/>
          <w:sz w:val="24"/>
          <w:szCs w:val="24"/>
        </w:rPr>
        <w:t>Critères de sélection portant sur les bénéficiaires :</w:t>
      </w:r>
    </w:p>
    <w:p w14:paraId="72783731" w14:textId="77777777" w:rsidR="00CD117C" w:rsidRPr="00BE0AE0" w:rsidRDefault="00CD117C" w:rsidP="00CD117C">
      <w:pPr>
        <w:suppressAutoHyphens/>
        <w:autoSpaceDN w:val="0"/>
        <w:spacing w:after="0" w:line="257" w:lineRule="auto"/>
        <w:jc w:val="both"/>
        <w:textAlignment w:val="baseline"/>
        <w:rPr>
          <w:rFonts w:cstheme="minorHAnsi"/>
          <w:bCs/>
          <w:sz w:val="24"/>
          <w:szCs w:val="24"/>
        </w:rPr>
      </w:pPr>
      <w:r w:rsidRPr="00BE0AE0">
        <w:rPr>
          <w:rFonts w:cstheme="minorHAnsi"/>
          <w:bCs/>
          <w:sz w:val="24"/>
          <w:szCs w:val="24"/>
        </w:rPr>
        <w:t>Aucun</w:t>
      </w:r>
    </w:p>
    <w:p w14:paraId="08EA3470" w14:textId="77777777" w:rsidR="00CD117C" w:rsidRPr="00BE0AE0" w:rsidRDefault="00CD117C" w:rsidP="00CD117C">
      <w:pPr>
        <w:keepNext/>
        <w:numPr>
          <w:ilvl w:val="1"/>
          <w:numId w:val="0"/>
        </w:numPr>
        <w:suppressAutoHyphens/>
        <w:autoSpaceDN w:val="0"/>
        <w:spacing w:after="0" w:line="240" w:lineRule="auto"/>
        <w:jc w:val="both"/>
        <w:textAlignment w:val="baseline"/>
        <w:outlineLvl w:val="1"/>
        <w:rPr>
          <w:rFonts w:eastAsia="Times New Roman" w:cstheme="minorHAnsi"/>
          <w:b/>
          <w:kern w:val="3"/>
          <w:sz w:val="24"/>
          <w:szCs w:val="24"/>
          <w:lang w:eastAsia="zh-CN"/>
        </w:rPr>
      </w:pPr>
      <w:bookmarkStart w:id="8" w:name="__RefHeading__13521_1846368536"/>
      <w:bookmarkStart w:id="9" w:name="_Toc435107046"/>
      <w:r w:rsidRPr="00BE0AE0">
        <w:rPr>
          <w:rFonts w:eastAsia="Times New Roman" w:cstheme="minorHAnsi"/>
          <w:b/>
          <w:kern w:val="3"/>
          <w:sz w:val="24"/>
          <w:szCs w:val="24"/>
          <w:lang w:eastAsia="zh-CN"/>
        </w:rPr>
        <w:t>Critères de sélection portant sur les projets</w:t>
      </w:r>
      <w:bookmarkEnd w:id="8"/>
      <w:bookmarkEnd w:id="9"/>
      <w:r w:rsidRPr="00BE0AE0">
        <w:rPr>
          <w:rFonts w:eastAsia="Times New Roman" w:cstheme="minorHAnsi"/>
          <w:b/>
          <w:kern w:val="3"/>
          <w:sz w:val="24"/>
          <w:szCs w:val="24"/>
          <w:lang w:eastAsia="zh-CN"/>
        </w:rPr>
        <w:t xml:space="preserve"> : </w:t>
      </w:r>
    </w:p>
    <w:p w14:paraId="1BEA53E1" w14:textId="77777777" w:rsidR="00CD117C" w:rsidRPr="00BE0AE0" w:rsidRDefault="00CD117C" w:rsidP="00CD117C">
      <w:pPr>
        <w:keepNext/>
        <w:numPr>
          <w:ilvl w:val="1"/>
          <w:numId w:val="0"/>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BE0AE0">
        <w:rPr>
          <w:rFonts w:eastAsia="Times New Roman" w:cstheme="minorHAnsi"/>
          <w:bCs/>
          <w:kern w:val="3"/>
          <w:sz w:val="24"/>
          <w:szCs w:val="24"/>
          <w:lang w:eastAsia="zh-CN"/>
        </w:rPr>
        <w:t>La sélection des projets s’appuiera sur les critères suivants :</w:t>
      </w:r>
    </w:p>
    <w:p w14:paraId="07A09225" w14:textId="1F266C8C" w:rsidR="00CD117C" w:rsidRPr="00824A76" w:rsidRDefault="00F87B1C" w:rsidP="00824A76">
      <w:pPr>
        <w:pStyle w:val="Paragraphedeliste"/>
        <w:keepNext/>
        <w:numPr>
          <w:ilvl w:val="0"/>
          <w:numId w:val="23"/>
        </w:numPr>
        <w:suppressAutoHyphens/>
        <w:autoSpaceDN w:val="0"/>
        <w:spacing w:after="0" w:line="240" w:lineRule="auto"/>
        <w:jc w:val="both"/>
        <w:textAlignment w:val="baseline"/>
        <w:outlineLvl w:val="1"/>
        <w:rPr>
          <w:rFonts w:cstheme="minorHAnsi"/>
          <w:bCs/>
          <w:sz w:val="24"/>
          <w:szCs w:val="24"/>
        </w:rPr>
      </w:pPr>
      <w:r w:rsidRPr="00824A76">
        <w:rPr>
          <w:rFonts w:cstheme="minorHAnsi"/>
          <w:bCs/>
          <w:sz w:val="24"/>
          <w:szCs w:val="24"/>
        </w:rPr>
        <w:t>L’optimisation de l'organisation des infrastructures régionales portuaires,</w:t>
      </w:r>
    </w:p>
    <w:p w14:paraId="361339C8" w14:textId="73859039" w:rsidR="00CD117C" w:rsidRPr="00824A76" w:rsidRDefault="00F87B1C" w:rsidP="00824A76">
      <w:pPr>
        <w:pStyle w:val="Paragraphedeliste"/>
        <w:keepNext/>
        <w:numPr>
          <w:ilvl w:val="0"/>
          <w:numId w:val="23"/>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824A76">
        <w:rPr>
          <w:rFonts w:eastAsia="Times New Roman" w:cstheme="minorHAnsi"/>
          <w:bCs/>
          <w:kern w:val="3"/>
          <w:sz w:val="24"/>
          <w:szCs w:val="24"/>
          <w:lang w:eastAsia="zh-CN"/>
        </w:rPr>
        <w:t>L’amélioration de la prise en charge des produits et valoriser la qualité assurée par le producteur</w:t>
      </w:r>
      <w:r w:rsidR="00CD117C" w:rsidRPr="00824A76">
        <w:rPr>
          <w:rFonts w:eastAsia="Times New Roman" w:cstheme="minorHAnsi"/>
          <w:bCs/>
          <w:kern w:val="3"/>
          <w:sz w:val="24"/>
          <w:szCs w:val="24"/>
          <w:lang w:eastAsia="zh-CN"/>
        </w:rPr>
        <w:t>,</w:t>
      </w:r>
    </w:p>
    <w:p w14:paraId="1A9C8B2B" w14:textId="20B41777" w:rsidR="00CD117C" w:rsidRPr="00824A76" w:rsidRDefault="00F87B1C" w:rsidP="00824A76">
      <w:pPr>
        <w:pStyle w:val="Paragraphedeliste"/>
        <w:keepNext/>
        <w:numPr>
          <w:ilvl w:val="0"/>
          <w:numId w:val="23"/>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824A76">
        <w:rPr>
          <w:rFonts w:eastAsia="Times New Roman" w:cstheme="minorHAnsi"/>
          <w:bCs/>
          <w:kern w:val="3"/>
          <w:sz w:val="24"/>
          <w:szCs w:val="24"/>
          <w:lang w:eastAsia="zh-CN"/>
        </w:rPr>
        <w:t>La prise en charge des produits soumis à l'obligation de débarquement</w:t>
      </w:r>
      <w:r w:rsidR="00CD117C" w:rsidRPr="00824A76">
        <w:rPr>
          <w:rFonts w:eastAsia="Times New Roman" w:cstheme="minorHAnsi"/>
          <w:bCs/>
          <w:kern w:val="3"/>
          <w:sz w:val="24"/>
          <w:szCs w:val="24"/>
          <w:lang w:eastAsia="zh-CN"/>
        </w:rPr>
        <w:t>,</w:t>
      </w:r>
    </w:p>
    <w:p w14:paraId="37F4F0AB" w14:textId="464ED607" w:rsidR="00F87B1C" w:rsidRDefault="00F87B1C" w:rsidP="00824A76">
      <w:pPr>
        <w:pStyle w:val="Paragraphedeliste"/>
        <w:keepNext/>
        <w:numPr>
          <w:ilvl w:val="0"/>
          <w:numId w:val="23"/>
        </w:numPr>
        <w:suppressAutoHyphens/>
        <w:autoSpaceDN w:val="0"/>
        <w:spacing w:after="0" w:line="240" w:lineRule="auto"/>
        <w:jc w:val="both"/>
        <w:textAlignment w:val="baseline"/>
        <w:outlineLvl w:val="1"/>
        <w:rPr>
          <w:rFonts w:eastAsia="Times New Roman" w:cstheme="minorHAnsi"/>
          <w:bCs/>
          <w:kern w:val="3"/>
          <w:sz w:val="24"/>
          <w:szCs w:val="24"/>
          <w:lang w:eastAsia="zh-CN"/>
        </w:rPr>
      </w:pPr>
      <w:r w:rsidRPr="00824A76">
        <w:rPr>
          <w:rFonts w:eastAsia="Times New Roman" w:cstheme="minorHAnsi"/>
          <w:bCs/>
          <w:kern w:val="3"/>
          <w:sz w:val="24"/>
          <w:szCs w:val="24"/>
          <w:lang w:eastAsia="zh-CN"/>
        </w:rPr>
        <w:t>La contribution à la transition écologique et réduction de l'incidence des activités portuaires sur l'environnement,</w:t>
      </w:r>
    </w:p>
    <w:p w14:paraId="0293BE7A" w14:textId="4391B98B" w:rsidR="00CD117C" w:rsidRPr="00824A76" w:rsidRDefault="00824A76" w:rsidP="00824A76">
      <w:pPr>
        <w:pStyle w:val="Paragraphedeliste"/>
        <w:keepNext/>
        <w:numPr>
          <w:ilvl w:val="0"/>
          <w:numId w:val="23"/>
        </w:numPr>
        <w:suppressAutoHyphens/>
        <w:autoSpaceDN w:val="0"/>
        <w:spacing w:after="120" w:line="240" w:lineRule="auto"/>
        <w:ind w:left="714" w:hanging="357"/>
        <w:jc w:val="both"/>
        <w:textAlignment w:val="baseline"/>
        <w:outlineLvl w:val="1"/>
        <w:rPr>
          <w:rFonts w:eastAsia="Times New Roman" w:cstheme="minorHAnsi"/>
          <w:bCs/>
          <w:kern w:val="3"/>
          <w:sz w:val="24"/>
          <w:szCs w:val="24"/>
          <w:lang w:eastAsia="zh-CN"/>
        </w:rPr>
      </w:pPr>
      <w:r w:rsidRPr="00824A76">
        <w:rPr>
          <w:rFonts w:eastAsia="Times New Roman" w:cstheme="minorHAnsi"/>
          <w:bCs/>
          <w:kern w:val="3"/>
          <w:sz w:val="24"/>
          <w:szCs w:val="24"/>
          <w:lang w:eastAsia="zh-CN"/>
        </w:rPr>
        <w:t>L’attractivité du secteur et amélioration des conditions de travail et de sécurité sur les ports de pêche</w:t>
      </w:r>
    </w:p>
    <w:p w14:paraId="223CF3FE" w14:textId="17690F2C" w:rsidR="00824A76" w:rsidRDefault="00824A76" w:rsidP="00824A76">
      <w:pPr>
        <w:spacing w:after="120" w:line="240" w:lineRule="auto"/>
        <w:jc w:val="both"/>
        <w:rPr>
          <w:sz w:val="24"/>
          <w:szCs w:val="24"/>
        </w:rPr>
      </w:pPr>
    </w:p>
    <w:p w14:paraId="4F5B6366" w14:textId="06BF2B18" w:rsidR="006C1481" w:rsidRPr="006C11A0" w:rsidRDefault="00B3429D" w:rsidP="00F15029">
      <w:pPr>
        <w:ind w:left="284" w:firstLine="425"/>
        <w:jc w:val="both"/>
        <w:rPr>
          <w:bCs/>
          <w:sz w:val="32"/>
          <w:szCs w:val="32"/>
        </w:rPr>
      </w:pPr>
      <w:bookmarkStart w:id="10" w:name="_Hlk123206097"/>
      <w:r w:rsidRPr="006C11A0">
        <w:rPr>
          <w:b/>
          <w:sz w:val="32"/>
          <w:szCs w:val="32"/>
        </w:rPr>
        <w:t>5. Taux d’intensité de l’aide, taux de cofinancement et enveloppe dédiée</w:t>
      </w:r>
    </w:p>
    <w:bookmarkEnd w:id="10"/>
    <w:p w14:paraId="64F1C504" w14:textId="3C1CE4C9" w:rsidR="0054294B" w:rsidRDefault="00FE72B9" w:rsidP="006C11A0">
      <w:pPr>
        <w:suppressAutoHyphens/>
        <w:autoSpaceDN w:val="0"/>
        <w:spacing w:after="0" w:line="256" w:lineRule="auto"/>
        <w:jc w:val="both"/>
        <w:textAlignment w:val="baseline"/>
        <w:rPr>
          <w:bCs/>
          <w:sz w:val="24"/>
          <w:szCs w:val="24"/>
        </w:rPr>
      </w:pPr>
      <w:r>
        <w:rPr>
          <w:bCs/>
          <w:sz w:val="24"/>
          <w:szCs w:val="24"/>
        </w:rPr>
        <w:t>D</w:t>
      </w:r>
      <w:r w:rsidRPr="00FE72B9">
        <w:rPr>
          <w:bCs/>
          <w:sz w:val="24"/>
          <w:szCs w:val="24"/>
        </w:rPr>
        <w:t>ans le cas général</w:t>
      </w:r>
      <w:r>
        <w:rPr>
          <w:bCs/>
          <w:sz w:val="24"/>
          <w:szCs w:val="24"/>
        </w:rPr>
        <w:t xml:space="preserve">, </w:t>
      </w:r>
      <w:r w:rsidRPr="00FE72B9">
        <w:rPr>
          <w:bCs/>
          <w:sz w:val="24"/>
          <w:szCs w:val="24"/>
        </w:rPr>
        <w:t>l</w:t>
      </w:r>
      <w:r w:rsidR="0054294B" w:rsidRPr="00FE72B9">
        <w:rPr>
          <w:bCs/>
          <w:sz w:val="24"/>
          <w:szCs w:val="24"/>
        </w:rPr>
        <w:t xml:space="preserve">e taux d’intensité d’aides publiques (FEAMPA + contrepartie nationale) applicable est de </w:t>
      </w:r>
      <w:r w:rsidR="00460E97" w:rsidRPr="00FE72B9">
        <w:rPr>
          <w:b/>
          <w:sz w:val="24"/>
          <w:szCs w:val="24"/>
        </w:rPr>
        <w:t>5</w:t>
      </w:r>
      <w:r w:rsidR="00E133AD" w:rsidRPr="00FE72B9">
        <w:rPr>
          <w:b/>
          <w:sz w:val="24"/>
          <w:szCs w:val="24"/>
        </w:rPr>
        <w:t>0</w:t>
      </w:r>
      <w:r w:rsidR="0054294B" w:rsidRPr="00FE72B9">
        <w:rPr>
          <w:b/>
          <w:sz w:val="24"/>
          <w:szCs w:val="24"/>
        </w:rPr>
        <w:t>%</w:t>
      </w:r>
      <w:r w:rsidR="0054294B" w:rsidRPr="00FE72B9">
        <w:rPr>
          <w:bCs/>
          <w:sz w:val="24"/>
          <w:szCs w:val="24"/>
        </w:rPr>
        <w:t xml:space="preserve"> du coût total éligible.</w:t>
      </w:r>
    </w:p>
    <w:p w14:paraId="0A8F0FB3" w14:textId="77777777" w:rsidR="00FE72B9" w:rsidRDefault="00FE72B9" w:rsidP="006C11A0">
      <w:pPr>
        <w:suppressAutoHyphens/>
        <w:autoSpaceDN w:val="0"/>
        <w:spacing w:after="0" w:line="256" w:lineRule="auto"/>
        <w:jc w:val="both"/>
        <w:textAlignment w:val="baseline"/>
        <w:rPr>
          <w:b/>
          <w:bCs/>
          <w:sz w:val="24"/>
          <w:szCs w:val="24"/>
        </w:rPr>
      </w:pPr>
    </w:p>
    <w:p w14:paraId="5E81FFB0" w14:textId="3B81B7A8" w:rsidR="00FE72B9" w:rsidRPr="003D7805" w:rsidRDefault="005B2FB6" w:rsidP="003D7805">
      <w:pPr>
        <w:suppressAutoHyphens/>
        <w:autoSpaceDN w:val="0"/>
        <w:spacing w:after="0" w:line="256" w:lineRule="auto"/>
        <w:jc w:val="both"/>
        <w:textAlignment w:val="baseline"/>
        <w:rPr>
          <w:sz w:val="24"/>
          <w:szCs w:val="24"/>
        </w:rPr>
      </w:pPr>
      <w:r w:rsidRPr="003D7805">
        <w:rPr>
          <w:sz w:val="24"/>
          <w:szCs w:val="24"/>
        </w:rPr>
        <w:t>Toutefois, l</w:t>
      </w:r>
      <w:r w:rsidR="00FE72B9" w:rsidRPr="003D7805">
        <w:rPr>
          <w:sz w:val="24"/>
          <w:szCs w:val="24"/>
        </w:rPr>
        <w:t>’opération peut faire l’objet d’un taux d’intensité d’aides publiques spécifique :</w:t>
      </w:r>
    </w:p>
    <w:p w14:paraId="1F49C28E" w14:textId="77777777" w:rsidR="003D7805" w:rsidRDefault="003D7805" w:rsidP="006C11A0">
      <w:pPr>
        <w:suppressAutoHyphens/>
        <w:autoSpaceDN w:val="0"/>
        <w:spacing w:after="0" w:line="256" w:lineRule="auto"/>
        <w:jc w:val="both"/>
        <w:textAlignment w:val="baseline"/>
        <w:rPr>
          <w:bCs/>
          <w:sz w:val="24"/>
          <w:szCs w:val="24"/>
        </w:rPr>
      </w:pPr>
    </w:p>
    <w:p w14:paraId="3A7F2118" w14:textId="7A6F6A31" w:rsidR="00FE72B9" w:rsidRDefault="00FE72B9" w:rsidP="006C11A0">
      <w:pPr>
        <w:suppressAutoHyphens/>
        <w:autoSpaceDN w:val="0"/>
        <w:spacing w:after="0" w:line="256" w:lineRule="auto"/>
        <w:jc w:val="both"/>
        <w:textAlignment w:val="baseline"/>
        <w:rPr>
          <w:sz w:val="24"/>
          <w:szCs w:val="24"/>
        </w:rPr>
      </w:pPr>
      <w:r>
        <w:rPr>
          <w:bCs/>
          <w:sz w:val="24"/>
          <w:szCs w:val="24"/>
        </w:rPr>
        <w:t xml:space="preserve">Pour les </w:t>
      </w:r>
      <w:r w:rsidRPr="00FE72B9">
        <w:rPr>
          <w:bCs/>
          <w:sz w:val="24"/>
          <w:szCs w:val="24"/>
        </w:rPr>
        <w:t>opérations qui améliorent l’infrastructure des ports de pêche, des sites de débarquement et des abris afin de faciliter le débarquement et le stockage des captures indésirées</w:t>
      </w:r>
      <w:r>
        <w:rPr>
          <w:bCs/>
          <w:sz w:val="24"/>
          <w:szCs w:val="24"/>
        </w:rPr>
        <w:t xml:space="preserve"> : </w:t>
      </w:r>
      <w:r w:rsidRPr="00FE72B9">
        <w:rPr>
          <w:b/>
          <w:sz w:val="24"/>
          <w:szCs w:val="24"/>
        </w:rPr>
        <w:t>75%</w:t>
      </w:r>
      <w:r>
        <w:rPr>
          <w:bCs/>
          <w:sz w:val="24"/>
          <w:szCs w:val="24"/>
        </w:rPr>
        <w:t xml:space="preserve"> </w:t>
      </w:r>
      <w:r w:rsidRPr="00FE72B9">
        <w:rPr>
          <w:sz w:val="24"/>
          <w:szCs w:val="24"/>
        </w:rPr>
        <w:t>du coût total éligible</w:t>
      </w:r>
      <w:r>
        <w:rPr>
          <w:sz w:val="24"/>
          <w:szCs w:val="24"/>
        </w:rPr>
        <w:t>,</w:t>
      </w:r>
    </w:p>
    <w:p w14:paraId="35A29BAA" w14:textId="00416829" w:rsidR="00FE72B9" w:rsidRPr="00FE72B9" w:rsidRDefault="00FE72B9" w:rsidP="006C11A0">
      <w:pPr>
        <w:suppressAutoHyphens/>
        <w:autoSpaceDN w:val="0"/>
        <w:spacing w:after="0" w:line="256" w:lineRule="auto"/>
        <w:jc w:val="both"/>
        <w:textAlignment w:val="baseline"/>
        <w:rPr>
          <w:sz w:val="24"/>
          <w:szCs w:val="24"/>
        </w:rPr>
      </w:pPr>
      <w:r>
        <w:rPr>
          <w:sz w:val="24"/>
          <w:szCs w:val="24"/>
        </w:rPr>
        <w:t>Pour les o</w:t>
      </w:r>
      <w:r w:rsidRPr="00FE72B9">
        <w:rPr>
          <w:sz w:val="24"/>
          <w:szCs w:val="24"/>
        </w:rPr>
        <w:t>pérations pour lesquelles le bénéficiaire est un organisme public ou une entreprise chargée de la gestion de services d’intérêt économique général visée à l’article 106, paragraphe 2, du traité sur le fonctionnement de l’Union européenne, lorsque l’aide est accordée pour la gestion de ces services</w:t>
      </w:r>
      <w:r>
        <w:rPr>
          <w:sz w:val="24"/>
          <w:szCs w:val="24"/>
        </w:rPr>
        <w:t xml:space="preserve"> : </w:t>
      </w:r>
      <w:r w:rsidRPr="005B2FB6">
        <w:rPr>
          <w:b/>
          <w:bCs/>
          <w:sz w:val="24"/>
          <w:szCs w:val="24"/>
        </w:rPr>
        <w:t>80%</w:t>
      </w:r>
      <w:r>
        <w:rPr>
          <w:sz w:val="24"/>
          <w:szCs w:val="24"/>
        </w:rPr>
        <w:t xml:space="preserve"> du co</w:t>
      </w:r>
      <w:r w:rsidR="005B2FB6">
        <w:rPr>
          <w:sz w:val="24"/>
          <w:szCs w:val="24"/>
        </w:rPr>
        <w:t>ût</w:t>
      </w:r>
      <w:r>
        <w:rPr>
          <w:sz w:val="24"/>
          <w:szCs w:val="24"/>
        </w:rPr>
        <w:t xml:space="preserve"> total éligible,</w:t>
      </w:r>
    </w:p>
    <w:p w14:paraId="55C47E37" w14:textId="77777777" w:rsidR="00460E97" w:rsidRPr="0054294B" w:rsidRDefault="00460E97" w:rsidP="006C11A0">
      <w:pPr>
        <w:suppressAutoHyphens/>
        <w:autoSpaceDN w:val="0"/>
        <w:spacing w:after="0" w:line="256" w:lineRule="auto"/>
        <w:jc w:val="both"/>
        <w:textAlignment w:val="baseline"/>
        <w:rPr>
          <w:bCs/>
          <w:sz w:val="24"/>
          <w:szCs w:val="24"/>
        </w:rPr>
      </w:pPr>
    </w:p>
    <w:p w14:paraId="6B031E17" w14:textId="0C6DB9C6" w:rsidR="0054294B" w:rsidRDefault="0054294B" w:rsidP="0054294B">
      <w:pPr>
        <w:suppressAutoHyphens/>
        <w:autoSpaceDN w:val="0"/>
        <w:spacing w:after="0" w:line="256" w:lineRule="auto"/>
        <w:jc w:val="both"/>
        <w:textAlignment w:val="baseline"/>
        <w:rPr>
          <w:bCs/>
          <w:sz w:val="24"/>
          <w:szCs w:val="24"/>
        </w:rPr>
      </w:pPr>
      <w:r w:rsidRPr="0054294B">
        <w:rPr>
          <w:bCs/>
          <w:sz w:val="24"/>
          <w:szCs w:val="24"/>
        </w:rPr>
        <w:t xml:space="preserve">Le </w:t>
      </w:r>
      <w:r w:rsidRPr="0054294B">
        <w:rPr>
          <w:b/>
          <w:sz w:val="24"/>
          <w:szCs w:val="24"/>
        </w:rPr>
        <w:t>taux de cofinancement du FEAMPA</w:t>
      </w:r>
      <w:r w:rsidRPr="0054294B">
        <w:rPr>
          <w:bCs/>
          <w:sz w:val="24"/>
          <w:szCs w:val="24"/>
        </w:rPr>
        <w:t xml:space="preserve"> est </w:t>
      </w:r>
      <w:r>
        <w:rPr>
          <w:bCs/>
          <w:sz w:val="24"/>
          <w:szCs w:val="24"/>
        </w:rPr>
        <w:t xml:space="preserve">fixé à </w:t>
      </w:r>
      <w:r w:rsidRPr="0054294B">
        <w:rPr>
          <w:bCs/>
          <w:sz w:val="24"/>
          <w:szCs w:val="24"/>
        </w:rPr>
        <w:t>70%</w:t>
      </w:r>
      <w:r>
        <w:rPr>
          <w:bCs/>
          <w:sz w:val="24"/>
          <w:szCs w:val="24"/>
        </w:rPr>
        <w:t xml:space="preserve"> de l’intensité d’aides publiques</w:t>
      </w:r>
      <w:r w:rsidRPr="0054294B">
        <w:rPr>
          <w:bCs/>
          <w:sz w:val="24"/>
          <w:szCs w:val="24"/>
        </w:rPr>
        <w:t>. La contrepartie nationale de 30% est apportée par la Région</w:t>
      </w:r>
      <w:r w:rsidR="003D7805">
        <w:rPr>
          <w:bCs/>
          <w:sz w:val="24"/>
          <w:szCs w:val="24"/>
        </w:rPr>
        <w:t xml:space="preserve"> et /ou l’Etat</w:t>
      </w:r>
      <w:r w:rsidRPr="0054294B">
        <w:rPr>
          <w:bCs/>
          <w:sz w:val="24"/>
          <w:szCs w:val="24"/>
        </w:rPr>
        <w:t>.</w:t>
      </w:r>
    </w:p>
    <w:p w14:paraId="17FFDE27" w14:textId="0FC6EB2E" w:rsidR="005002B2" w:rsidRDefault="005002B2" w:rsidP="0054294B">
      <w:pPr>
        <w:suppressAutoHyphens/>
        <w:autoSpaceDN w:val="0"/>
        <w:spacing w:after="0" w:line="256" w:lineRule="auto"/>
        <w:jc w:val="both"/>
        <w:textAlignment w:val="baseline"/>
        <w:rPr>
          <w:bCs/>
          <w:sz w:val="24"/>
          <w:szCs w:val="24"/>
        </w:rPr>
      </w:pPr>
      <w:r w:rsidRPr="005002B2">
        <w:rPr>
          <w:bCs/>
          <w:sz w:val="24"/>
          <w:szCs w:val="24"/>
        </w:rPr>
        <w:t xml:space="preserve">Un plancher d’éligibilité de </w:t>
      </w:r>
      <w:r w:rsidR="00FE72B9">
        <w:rPr>
          <w:bCs/>
          <w:sz w:val="24"/>
          <w:szCs w:val="24"/>
        </w:rPr>
        <w:t>22</w:t>
      </w:r>
      <w:r w:rsidRPr="005002B2">
        <w:rPr>
          <w:bCs/>
          <w:sz w:val="24"/>
          <w:szCs w:val="24"/>
        </w:rPr>
        <w:t xml:space="preserve"> 000 € d’aides publiques est appliqué par projet</w:t>
      </w:r>
      <w:r>
        <w:rPr>
          <w:bCs/>
          <w:sz w:val="24"/>
          <w:szCs w:val="24"/>
        </w:rPr>
        <w:t>.</w:t>
      </w:r>
    </w:p>
    <w:p w14:paraId="4C5940DA" w14:textId="11F23704" w:rsidR="00FE72B9" w:rsidRPr="00FE72B9" w:rsidRDefault="00FE72B9" w:rsidP="00FE72B9">
      <w:pPr>
        <w:suppressAutoHyphens/>
        <w:autoSpaceDN w:val="0"/>
        <w:spacing w:after="0" w:line="256" w:lineRule="auto"/>
        <w:jc w:val="both"/>
        <w:textAlignment w:val="baseline"/>
        <w:rPr>
          <w:bCs/>
          <w:sz w:val="24"/>
          <w:szCs w:val="24"/>
        </w:rPr>
      </w:pPr>
      <w:r w:rsidRPr="00FE72B9">
        <w:rPr>
          <w:bCs/>
          <w:sz w:val="24"/>
          <w:szCs w:val="24"/>
        </w:rPr>
        <w:t xml:space="preserve">Un plafond d’aides publiques de </w:t>
      </w:r>
      <w:r>
        <w:rPr>
          <w:bCs/>
          <w:sz w:val="24"/>
          <w:szCs w:val="24"/>
        </w:rPr>
        <w:t xml:space="preserve">500 </w:t>
      </w:r>
      <w:r w:rsidRPr="00FE72B9">
        <w:rPr>
          <w:bCs/>
          <w:sz w:val="24"/>
          <w:szCs w:val="24"/>
        </w:rPr>
        <w:t>000 € est appliqué par projet.</w:t>
      </w:r>
    </w:p>
    <w:p w14:paraId="1507DEA1" w14:textId="77777777" w:rsidR="0054294B" w:rsidRDefault="0054294B" w:rsidP="0054294B">
      <w:pPr>
        <w:suppressAutoHyphens/>
        <w:autoSpaceDN w:val="0"/>
        <w:spacing w:after="0" w:line="256" w:lineRule="auto"/>
        <w:jc w:val="both"/>
        <w:textAlignment w:val="baseline"/>
        <w:rPr>
          <w:bCs/>
          <w:sz w:val="24"/>
          <w:szCs w:val="24"/>
        </w:rPr>
      </w:pPr>
    </w:p>
    <w:p w14:paraId="2A202603" w14:textId="3FCD514E" w:rsidR="0054294B" w:rsidRPr="0054294B" w:rsidRDefault="0054294B" w:rsidP="00824A76">
      <w:pPr>
        <w:suppressAutoHyphens/>
        <w:autoSpaceDN w:val="0"/>
        <w:spacing w:after="0" w:line="257" w:lineRule="auto"/>
        <w:jc w:val="both"/>
        <w:textAlignment w:val="baseline"/>
        <w:rPr>
          <w:bCs/>
          <w:sz w:val="24"/>
          <w:szCs w:val="24"/>
        </w:rPr>
      </w:pPr>
      <w:r>
        <w:rPr>
          <w:bCs/>
          <w:sz w:val="24"/>
          <w:szCs w:val="24"/>
        </w:rPr>
        <w:t xml:space="preserve">L’enveloppe maximale dédiée à cet appel à projets est de </w:t>
      </w:r>
      <w:r w:rsidR="00460E97" w:rsidRPr="00460E97">
        <w:rPr>
          <w:b/>
          <w:sz w:val="24"/>
          <w:szCs w:val="24"/>
        </w:rPr>
        <w:t xml:space="preserve">500 </w:t>
      </w:r>
      <w:r w:rsidR="005002B2" w:rsidRPr="00460E97">
        <w:rPr>
          <w:b/>
          <w:sz w:val="24"/>
          <w:szCs w:val="24"/>
        </w:rPr>
        <w:t>000</w:t>
      </w:r>
      <w:r w:rsidR="005002B2">
        <w:rPr>
          <w:bCs/>
          <w:sz w:val="24"/>
          <w:szCs w:val="24"/>
        </w:rPr>
        <w:t xml:space="preserve"> </w:t>
      </w:r>
      <w:r w:rsidRPr="0054294B">
        <w:rPr>
          <w:b/>
          <w:sz w:val="24"/>
          <w:szCs w:val="24"/>
        </w:rPr>
        <w:t>€</w:t>
      </w:r>
      <w:r>
        <w:rPr>
          <w:bCs/>
          <w:sz w:val="24"/>
          <w:szCs w:val="24"/>
        </w:rPr>
        <w:t>.</w:t>
      </w:r>
      <w:r w:rsidRPr="0054294B">
        <w:rPr>
          <w:bCs/>
          <w:sz w:val="24"/>
          <w:szCs w:val="24"/>
        </w:rPr>
        <w:t xml:space="preserve">  </w:t>
      </w:r>
    </w:p>
    <w:p w14:paraId="587DD995" w14:textId="4F6A3505" w:rsidR="009A1A59" w:rsidRDefault="009A1A59" w:rsidP="00C64831">
      <w:pPr>
        <w:suppressAutoHyphens/>
        <w:autoSpaceDN w:val="0"/>
        <w:spacing w:line="256" w:lineRule="auto"/>
        <w:jc w:val="both"/>
        <w:textAlignment w:val="baseline"/>
        <w:rPr>
          <w:b/>
          <w:sz w:val="24"/>
          <w:szCs w:val="24"/>
        </w:rPr>
      </w:pPr>
    </w:p>
    <w:p w14:paraId="19379302" w14:textId="77777777" w:rsidR="00F15029" w:rsidRPr="004E749E" w:rsidRDefault="00F15029" w:rsidP="00F15029">
      <w:pPr>
        <w:suppressAutoHyphens/>
        <w:autoSpaceDN w:val="0"/>
        <w:spacing w:line="257" w:lineRule="auto"/>
        <w:ind w:left="284" w:firstLine="425"/>
        <w:jc w:val="both"/>
        <w:textAlignment w:val="baseline"/>
        <w:rPr>
          <w:b/>
          <w:sz w:val="32"/>
          <w:szCs w:val="32"/>
        </w:rPr>
      </w:pPr>
      <w:r>
        <w:rPr>
          <w:b/>
          <w:sz w:val="32"/>
          <w:szCs w:val="32"/>
        </w:rPr>
        <w:t>6</w:t>
      </w:r>
      <w:r w:rsidRPr="004E749E">
        <w:rPr>
          <w:b/>
          <w:sz w:val="32"/>
          <w:szCs w:val="32"/>
        </w:rPr>
        <w:t>. Références réglementaires</w:t>
      </w:r>
    </w:p>
    <w:p w14:paraId="040F7511" w14:textId="77777777"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w:t>
      </w:r>
    </w:p>
    <w:p w14:paraId="600ACFA3" w14:textId="49988160" w:rsidR="00F15029" w:rsidRPr="004E749E" w:rsidRDefault="00F15029" w:rsidP="00F15029">
      <w:pPr>
        <w:suppressAutoHyphens/>
        <w:autoSpaceDN w:val="0"/>
        <w:spacing w:after="0" w:line="240" w:lineRule="auto"/>
        <w:jc w:val="both"/>
        <w:textAlignment w:val="baseline"/>
        <w:rPr>
          <w:bCs/>
          <w:sz w:val="24"/>
          <w:szCs w:val="24"/>
        </w:rPr>
      </w:pPr>
      <w:r w:rsidRPr="004E749E">
        <w:rPr>
          <w:bCs/>
          <w:sz w:val="24"/>
          <w:szCs w:val="24"/>
        </w:rPr>
        <w:t>- Règlement (UE) 2021/1139 du Parlement européen et du conseil du 7 juillet 2021 instituant le Fonds européen pour les affaires maritimes, la pêche et l’aquaculture et modifiant le règlement (UE) 2017/1004 (articles 1</w:t>
      </w:r>
      <w:r w:rsidR="00460E97">
        <w:rPr>
          <w:bCs/>
          <w:sz w:val="24"/>
          <w:szCs w:val="24"/>
        </w:rPr>
        <w:t>4</w:t>
      </w:r>
      <w:r w:rsidRPr="004E749E">
        <w:rPr>
          <w:bCs/>
          <w:sz w:val="24"/>
          <w:szCs w:val="24"/>
        </w:rPr>
        <w:t>).</w:t>
      </w:r>
    </w:p>
    <w:p w14:paraId="19CC7E7A" w14:textId="1A3E46E1" w:rsidR="00F15029" w:rsidRDefault="00F15029" w:rsidP="00F15029">
      <w:pPr>
        <w:suppressAutoHyphens/>
        <w:autoSpaceDN w:val="0"/>
        <w:spacing w:after="0" w:line="240" w:lineRule="auto"/>
        <w:jc w:val="both"/>
        <w:textAlignment w:val="baseline"/>
        <w:rPr>
          <w:bCs/>
          <w:sz w:val="24"/>
          <w:szCs w:val="24"/>
        </w:rPr>
      </w:pPr>
      <w:r w:rsidRPr="004E749E">
        <w:rPr>
          <w:bCs/>
          <w:sz w:val="24"/>
          <w:szCs w:val="24"/>
        </w:rPr>
        <w:t xml:space="preserve">- </w:t>
      </w:r>
      <w:r w:rsidR="002A4D0E">
        <w:rPr>
          <w:bCs/>
          <w:sz w:val="24"/>
          <w:szCs w:val="24"/>
        </w:rPr>
        <w:t>Dé</w:t>
      </w:r>
      <w:r w:rsidRPr="004E749E">
        <w:rPr>
          <w:bCs/>
          <w:sz w:val="24"/>
          <w:szCs w:val="24"/>
        </w:rPr>
        <w:t>cret national n° 2022-608 du 21 avril 2022 fixant les règles nationales d'éligibilité des dépenses des programmes européens de la politique de cohésion et de la pêche et des affaires maritimes pour la période de programmation 2021-2027.</w:t>
      </w:r>
    </w:p>
    <w:p w14:paraId="1EA6075B" w14:textId="77777777" w:rsidR="00F15029" w:rsidRPr="006C11A0" w:rsidRDefault="00F15029" w:rsidP="00C64831">
      <w:pPr>
        <w:suppressAutoHyphens/>
        <w:autoSpaceDN w:val="0"/>
        <w:spacing w:line="256" w:lineRule="auto"/>
        <w:jc w:val="both"/>
        <w:textAlignment w:val="baseline"/>
        <w:rPr>
          <w:b/>
          <w:sz w:val="24"/>
          <w:szCs w:val="24"/>
        </w:rPr>
      </w:pPr>
    </w:p>
    <w:p w14:paraId="27D4B312" w14:textId="3817C498" w:rsidR="006C11A0" w:rsidRDefault="00F15029" w:rsidP="00D32D5E">
      <w:pPr>
        <w:suppressAutoHyphens/>
        <w:autoSpaceDN w:val="0"/>
        <w:spacing w:line="256" w:lineRule="auto"/>
        <w:ind w:firstLine="708"/>
        <w:jc w:val="both"/>
        <w:textAlignment w:val="baseline"/>
        <w:rPr>
          <w:b/>
          <w:sz w:val="32"/>
          <w:szCs w:val="32"/>
        </w:rPr>
      </w:pPr>
      <w:r>
        <w:rPr>
          <w:b/>
          <w:sz w:val="32"/>
          <w:szCs w:val="32"/>
        </w:rPr>
        <w:t>7</w:t>
      </w:r>
      <w:r w:rsidR="006C11A0" w:rsidRPr="006C11A0">
        <w:rPr>
          <w:b/>
          <w:sz w:val="32"/>
          <w:szCs w:val="32"/>
        </w:rPr>
        <w:t xml:space="preserve">. </w:t>
      </w:r>
      <w:r w:rsidR="006C11A0" w:rsidRPr="00D32D5E">
        <w:rPr>
          <w:b/>
          <w:sz w:val="32"/>
          <w:szCs w:val="32"/>
        </w:rPr>
        <w:t xml:space="preserve">Modalité de candidature </w:t>
      </w:r>
    </w:p>
    <w:p w14:paraId="302669A0" w14:textId="31C1B693" w:rsidR="00460E97" w:rsidRPr="00C15197" w:rsidRDefault="00460E97" w:rsidP="00460E97">
      <w:pPr>
        <w:suppressAutoHyphens/>
        <w:autoSpaceDN w:val="0"/>
        <w:spacing w:after="0" w:line="256" w:lineRule="auto"/>
        <w:textAlignment w:val="baseline"/>
        <w:rPr>
          <w:sz w:val="24"/>
          <w:szCs w:val="24"/>
        </w:rPr>
      </w:pPr>
      <w:r w:rsidRPr="00F15029">
        <w:rPr>
          <w:sz w:val="24"/>
          <w:szCs w:val="24"/>
        </w:rPr>
        <w:t>Le calendrier de dépôt</w:t>
      </w:r>
      <w:r w:rsidRPr="00C15197">
        <w:rPr>
          <w:sz w:val="24"/>
          <w:szCs w:val="24"/>
        </w:rPr>
        <w:t xml:space="preserve"> des dossiers du présent appel à projets est publié sur le site internet : </w:t>
      </w:r>
      <w:r>
        <w:rPr>
          <w:sz w:val="24"/>
          <w:szCs w:val="24"/>
        </w:rPr>
        <w:t xml:space="preserve">                                              </w:t>
      </w:r>
    </w:p>
    <w:p w14:paraId="4CAEEE19" w14:textId="3A9C4B0D" w:rsidR="00460E97" w:rsidRDefault="0045318B" w:rsidP="00460E97">
      <w:pPr>
        <w:suppressAutoHyphens/>
        <w:autoSpaceDN w:val="0"/>
        <w:spacing w:after="0" w:line="256" w:lineRule="auto"/>
        <w:jc w:val="both"/>
        <w:textAlignment w:val="baseline"/>
        <w:rPr>
          <w:bCs/>
          <w:sz w:val="24"/>
          <w:szCs w:val="24"/>
        </w:rPr>
      </w:pPr>
      <w:hyperlink r:id="rId12" w:history="1">
        <w:r w:rsidR="005977A4" w:rsidRPr="005977A4">
          <w:rPr>
            <w:rStyle w:val="Lienhypertexte"/>
            <w:bCs/>
            <w:sz w:val="24"/>
            <w:szCs w:val="24"/>
          </w:rPr>
          <w:t>https://europe.maregionsud.fr/projets</w:t>
        </w:r>
      </w:hyperlink>
    </w:p>
    <w:p w14:paraId="18F80C50" w14:textId="77777777" w:rsidR="00F03EAC" w:rsidRPr="005977A4" w:rsidRDefault="00F03EAC" w:rsidP="00460E97">
      <w:pPr>
        <w:suppressAutoHyphens/>
        <w:autoSpaceDN w:val="0"/>
        <w:spacing w:after="0" w:line="256" w:lineRule="auto"/>
        <w:jc w:val="both"/>
        <w:textAlignment w:val="baseline"/>
        <w:rPr>
          <w:bCs/>
        </w:rPr>
      </w:pPr>
    </w:p>
    <w:p w14:paraId="6DF12027" w14:textId="77777777" w:rsidR="00460E97" w:rsidRDefault="00460E97" w:rsidP="00460E97">
      <w:pPr>
        <w:suppressAutoHyphens/>
        <w:autoSpaceDN w:val="0"/>
        <w:spacing w:after="0" w:line="256" w:lineRule="auto"/>
        <w:jc w:val="both"/>
        <w:textAlignment w:val="baseline"/>
        <w:rPr>
          <w:sz w:val="24"/>
          <w:szCs w:val="24"/>
        </w:rPr>
      </w:pPr>
      <w:r w:rsidRPr="00C15197">
        <w:rPr>
          <w:sz w:val="24"/>
          <w:szCs w:val="24"/>
        </w:rPr>
        <w:t xml:space="preserve">Le dépôt en ligne des dossiers de demandes de subvention au titre du Programme </w:t>
      </w:r>
      <w:r>
        <w:rPr>
          <w:sz w:val="24"/>
          <w:szCs w:val="24"/>
        </w:rPr>
        <w:t>du fonds européen pour les affaires maritimes, la pêche et l’aquaculture 2021/2027</w:t>
      </w:r>
      <w:r w:rsidRPr="00C15197">
        <w:rPr>
          <w:sz w:val="24"/>
          <w:szCs w:val="24"/>
        </w:rPr>
        <w:t xml:space="preserve"> s’effectue par voie dématérialisée sur le portail e-Synergie. </w:t>
      </w:r>
    </w:p>
    <w:p w14:paraId="566B67A9" w14:textId="77777777" w:rsidR="00460E97" w:rsidRPr="006C11A0" w:rsidRDefault="00460E97" w:rsidP="00460E97">
      <w:pPr>
        <w:suppressAutoHyphens/>
        <w:autoSpaceDN w:val="0"/>
        <w:spacing w:after="0" w:line="256" w:lineRule="auto"/>
        <w:jc w:val="both"/>
        <w:textAlignment w:val="baseline"/>
        <w:rPr>
          <w:b/>
          <w:sz w:val="24"/>
          <w:szCs w:val="24"/>
        </w:rPr>
      </w:pPr>
      <w:r w:rsidRPr="00C15197">
        <w:rPr>
          <w:sz w:val="24"/>
          <w:szCs w:val="24"/>
        </w:rPr>
        <w:t xml:space="preserve">Le </w:t>
      </w:r>
      <w:r w:rsidRPr="00771BBF">
        <w:rPr>
          <w:b/>
          <w:bCs/>
          <w:sz w:val="24"/>
          <w:szCs w:val="24"/>
        </w:rPr>
        <w:t>portail e-SYNERGIE</w:t>
      </w:r>
      <w:r w:rsidRPr="00C15197">
        <w:rPr>
          <w:sz w:val="24"/>
          <w:szCs w:val="24"/>
        </w:rPr>
        <w:t xml:space="preserve"> est accessible à l’adresse suivante : </w:t>
      </w:r>
      <w:hyperlink r:id="rId13" w:history="1">
        <w:r w:rsidRPr="005568C8">
          <w:rPr>
            <w:rStyle w:val="Lienhypertexte"/>
            <w:sz w:val="24"/>
            <w:szCs w:val="24"/>
          </w:rPr>
          <w:t>E-Synergie - Portail (synergie-europe.fr)</w:t>
        </w:r>
      </w:hyperlink>
    </w:p>
    <w:p w14:paraId="7174A305" w14:textId="77777777" w:rsidR="00460E97" w:rsidRPr="00C15197" w:rsidRDefault="00460E97" w:rsidP="00460E97">
      <w:pPr>
        <w:suppressAutoHyphens/>
        <w:autoSpaceDN w:val="0"/>
        <w:spacing w:after="0" w:line="256" w:lineRule="auto"/>
        <w:jc w:val="both"/>
        <w:textAlignment w:val="baseline"/>
        <w:rPr>
          <w:sz w:val="24"/>
          <w:szCs w:val="24"/>
        </w:rPr>
      </w:pPr>
    </w:p>
    <w:p w14:paraId="229EF4D9" w14:textId="77777777" w:rsidR="00460E97" w:rsidRPr="003C3CDD" w:rsidRDefault="00460E97" w:rsidP="00460E97">
      <w:pPr>
        <w:suppressAutoHyphens/>
        <w:autoSpaceDN w:val="0"/>
        <w:spacing w:after="0" w:line="256" w:lineRule="auto"/>
        <w:jc w:val="both"/>
        <w:textAlignment w:val="baseline"/>
        <w:rPr>
          <w:bCs/>
          <w:sz w:val="24"/>
          <w:szCs w:val="24"/>
        </w:rPr>
      </w:pPr>
      <w:r w:rsidRPr="003C3CDD">
        <w:rPr>
          <w:bCs/>
          <w:sz w:val="24"/>
          <w:szCs w:val="24"/>
        </w:rPr>
        <w:t>Pour vous aider à déposer sur e-Synergie votre dossier de demande de subvention, il est nécessaire de prendre connaissance de l’ensemble des documents suivants</w:t>
      </w:r>
      <w:r>
        <w:rPr>
          <w:bCs/>
          <w:sz w:val="24"/>
          <w:szCs w:val="24"/>
        </w:rPr>
        <w:t>,</w:t>
      </w:r>
      <w:r w:rsidRPr="003C3CDD">
        <w:rPr>
          <w:bCs/>
          <w:sz w:val="24"/>
          <w:szCs w:val="24"/>
        </w:rPr>
        <w:t xml:space="preserve"> joints à cet appel :  </w:t>
      </w:r>
    </w:p>
    <w:p w14:paraId="4723F063" w14:textId="77777777" w:rsidR="00460E97" w:rsidRPr="00BF33A9" w:rsidRDefault="00460E97" w:rsidP="00460E97">
      <w:pPr>
        <w:pStyle w:val="Paragraphedeliste"/>
        <w:numPr>
          <w:ilvl w:val="0"/>
          <w:numId w:val="15"/>
        </w:numPr>
        <w:suppressAutoHyphens/>
        <w:autoSpaceDN w:val="0"/>
        <w:spacing w:after="0" w:line="256" w:lineRule="auto"/>
        <w:jc w:val="both"/>
        <w:textAlignment w:val="baseline"/>
        <w:rPr>
          <w:bCs/>
          <w:sz w:val="24"/>
          <w:szCs w:val="24"/>
        </w:rPr>
      </w:pPr>
      <w:r w:rsidRPr="00BF33A9">
        <w:rPr>
          <w:bCs/>
          <w:sz w:val="24"/>
          <w:szCs w:val="24"/>
        </w:rPr>
        <w:t xml:space="preserve">Guide du porteur Synergie - création de compte </w:t>
      </w:r>
    </w:p>
    <w:p w14:paraId="48C9F1B6" w14:textId="77777777" w:rsidR="00460E97" w:rsidRPr="00BF33A9" w:rsidRDefault="00460E97" w:rsidP="00460E97">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N</w:t>
      </w:r>
      <w:r w:rsidRPr="00BF33A9">
        <w:rPr>
          <w:bCs/>
          <w:sz w:val="24"/>
          <w:szCs w:val="24"/>
        </w:rPr>
        <w:t>otice d’aide e-Synergie FEAMPA</w:t>
      </w:r>
    </w:p>
    <w:p w14:paraId="064AB49A" w14:textId="77777777" w:rsidR="00460E97" w:rsidRPr="00164D27" w:rsidRDefault="00460E97" w:rsidP="00460E97">
      <w:pPr>
        <w:pStyle w:val="Paragraphedeliste"/>
        <w:numPr>
          <w:ilvl w:val="0"/>
          <w:numId w:val="15"/>
        </w:numPr>
        <w:suppressAutoHyphens/>
        <w:autoSpaceDN w:val="0"/>
        <w:spacing w:after="0" w:line="256" w:lineRule="auto"/>
        <w:jc w:val="both"/>
        <w:textAlignment w:val="baseline"/>
        <w:rPr>
          <w:bCs/>
          <w:sz w:val="24"/>
          <w:szCs w:val="24"/>
        </w:rPr>
      </w:pPr>
      <w:r w:rsidRPr="00164D27">
        <w:rPr>
          <w:bCs/>
          <w:sz w:val="24"/>
          <w:szCs w:val="24"/>
        </w:rPr>
        <w:t xml:space="preserve">Trame de saisie du dossier de demande de subvention e-Synergie </w:t>
      </w:r>
    </w:p>
    <w:p w14:paraId="7AFF377B" w14:textId="77777777" w:rsidR="00460E97" w:rsidRPr="00BF33A9" w:rsidRDefault="00460E97" w:rsidP="00460E97">
      <w:pPr>
        <w:pStyle w:val="Paragraphedeliste"/>
        <w:numPr>
          <w:ilvl w:val="0"/>
          <w:numId w:val="15"/>
        </w:numPr>
        <w:suppressAutoHyphens/>
        <w:autoSpaceDN w:val="0"/>
        <w:spacing w:after="0" w:line="256" w:lineRule="auto"/>
        <w:jc w:val="both"/>
        <w:textAlignment w:val="baseline"/>
        <w:rPr>
          <w:bCs/>
          <w:sz w:val="24"/>
          <w:szCs w:val="24"/>
        </w:rPr>
      </w:pPr>
      <w:r>
        <w:rPr>
          <w:bCs/>
          <w:sz w:val="24"/>
          <w:szCs w:val="24"/>
        </w:rPr>
        <w:t>D</w:t>
      </w:r>
      <w:r w:rsidRPr="00BF33A9">
        <w:rPr>
          <w:bCs/>
          <w:sz w:val="24"/>
          <w:szCs w:val="24"/>
        </w:rPr>
        <w:t xml:space="preserve">éclaration sur l’honneur du bénéficiaire (charte européenne des droits fondamentaux et contrat d’engagement républicain), à compléter </w:t>
      </w:r>
    </w:p>
    <w:p w14:paraId="2C006B16" w14:textId="77777777" w:rsidR="00460E97" w:rsidRDefault="00460E97" w:rsidP="00460E97">
      <w:pPr>
        <w:pStyle w:val="Paragraphedeliste"/>
        <w:numPr>
          <w:ilvl w:val="0"/>
          <w:numId w:val="15"/>
        </w:numPr>
        <w:suppressAutoHyphens/>
        <w:autoSpaceDN w:val="0"/>
        <w:spacing w:line="256" w:lineRule="auto"/>
        <w:jc w:val="both"/>
        <w:textAlignment w:val="baseline"/>
        <w:rPr>
          <w:bCs/>
          <w:sz w:val="24"/>
          <w:szCs w:val="24"/>
        </w:rPr>
      </w:pPr>
      <w:r>
        <w:rPr>
          <w:bCs/>
          <w:sz w:val="24"/>
          <w:szCs w:val="24"/>
        </w:rPr>
        <w:t>L</w:t>
      </w:r>
      <w:r w:rsidRPr="00BF33A9">
        <w:rPr>
          <w:bCs/>
          <w:sz w:val="24"/>
          <w:szCs w:val="24"/>
        </w:rPr>
        <w:t>iste des pièces à joindre</w:t>
      </w:r>
    </w:p>
    <w:p w14:paraId="2718F925" w14:textId="77777777" w:rsidR="00460E97" w:rsidRPr="00561110" w:rsidRDefault="00460E97" w:rsidP="00460E97">
      <w:pPr>
        <w:suppressAutoHyphens/>
        <w:autoSpaceDN w:val="0"/>
        <w:spacing w:after="0" w:line="256" w:lineRule="auto"/>
        <w:jc w:val="both"/>
        <w:textAlignment w:val="baseline"/>
        <w:rPr>
          <w:bCs/>
          <w:sz w:val="24"/>
          <w:szCs w:val="24"/>
        </w:rPr>
      </w:pPr>
      <w:r w:rsidRPr="00561110">
        <w:rPr>
          <w:bCs/>
          <w:sz w:val="24"/>
          <w:szCs w:val="24"/>
        </w:rPr>
        <w:t>Tout candidat remettant un dossier de candidature s’engage à :</w:t>
      </w:r>
    </w:p>
    <w:p w14:paraId="041AC53B" w14:textId="77777777" w:rsidR="00460E97" w:rsidRPr="00561110" w:rsidRDefault="00460E97" w:rsidP="00460E97">
      <w:pPr>
        <w:suppressAutoHyphens/>
        <w:autoSpaceDN w:val="0"/>
        <w:spacing w:after="0" w:line="256" w:lineRule="auto"/>
        <w:jc w:val="both"/>
        <w:textAlignment w:val="baseline"/>
        <w:rPr>
          <w:bCs/>
          <w:sz w:val="24"/>
          <w:szCs w:val="24"/>
        </w:rPr>
      </w:pPr>
      <w:r w:rsidRPr="00561110">
        <w:rPr>
          <w:bCs/>
          <w:sz w:val="24"/>
          <w:szCs w:val="24"/>
        </w:rPr>
        <w:t>- Autoriser l</w:t>
      </w:r>
      <w:r>
        <w:rPr>
          <w:bCs/>
          <w:sz w:val="24"/>
          <w:szCs w:val="24"/>
        </w:rPr>
        <w:t xml:space="preserve">a Région </w:t>
      </w:r>
      <w:r w:rsidRPr="00561110">
        <w:rPr>
          <w:bCs/>
          <w:sz w:val="24"/>
          <w:szCs w:val="24"/>
        </w:rPr>
        <w:t>à communiquer sur son projet, son bilan et ses résultats dès lors qu’il a été retenu ;</w:t>
      </w:r>
    </w:p>
    <w:p w14:paraId="120D122C" w14:textId="77777777" w:rsidR="00460E97" w:rsidRPr="00561110" w:rsidRDefault="00460E97" w:rsidP="00460E97">
      <w:pPr>
        <w:suppressAutoHyphens/>
        <w:autoSpaceDN w:val="0"/>
        <w:spacing w:after="0" w:line="256" w:lineRule="auto"/>
        <w:jc w:val="both"/>
        <w:textAlignment w:val="baseline"/>
        <w:rPr>
          <w:bCs/>
          <w:sz w:val="24"/>
          <w:szCs w:val="24"/>
        </w:rPr>
      </w:pPr>
      <w:r w:rsidRPr="00561110">
        <w:rPr>
          <w:bCs/>
          <w:sz w:val="24"/>
          <w:szCs w:val="24"/>
        </w:rPr>
        <w:t xml:space="preserve">- Utiliser tous les matériels/éléments (fournis par la Région) assurant la visibilité du soutien régional </w:t>
      </w:r>
      <w:r>
        <w:rPr>
          <w:bCs/>
          <w:sz w:val="24"/>
          <w:szCs w:val="24"/>
        </w:rPr>
        <w:t xml:space="preserve">et du financement européen </w:t>
      </w:r>
      <w:r w:rsidRPr="00561110">
        <w:rPr>
          <w:bCs/>
          <w:sz w:val="24"/>
          <w:szCs w:val="24"/>
        </w:rPr>
        <w:t>tout au long de la période de réalisation de l’action</w:t>
      </w:r>
      <w:r>
        <w:rPr>
          <w:bCs/>
          <w:sz w:val="24"/>
          <w:szCs w:val="24"/>
        </w:rPr>
        <w:t>.</w:t>
      </w:r>
      <w:r w:rsidRPr="00561110">
        <w:rPr>
          <w:bCs/>
          <w:sz w:val="24"/>
          <w:szCs w:val="24"/>
        </w:rPr>
        <w:t xml:space="preserve"> </w:t>
      </w:r>
    </w:p>
    <w:p w14:paraId="1A7EDC22" w14:textId="77777777" w:rsidR="00460E97" w:rsidRDefault="00460E97" w:rsidP="00460E97">
      <w:pPr>
        <w:jc w:val="both"/>
        <w:rPr>
          <w:bCs/>
          <w:sz w:val="24"/>
          <w:szCs w:val="24"/>
        </w:rPr>
      </w:pPr>
    </w:p>
    <w:p w14:paraId="0FCFB608" w14:textId="77777777" w:rsidR="00460E97" w:rsidRPr="006C11A0" w:rsidRDefault="00460E97" w:rsidP="00460E97">
      <w:pPr>
        <w:jc w:val="both"/>
        <w:rPr>
          <w:bCs/>
          <w:sz w:val="24"/>
          <w:szCs w:val="24"/>
        </w:rPr>
      </w:pPr>
    </w:p>
    <w:p w14:paraId="2E8714CB" w14:textId="77777777" w:rsidR="00460E97" w:rsidRDefault="00460E97" w:rsidP="00460E97">
      <w:pPr>
        <w:spacing w:after="0"/>
        <w:jc w:val="center"/>
        <w:rPr>
          <w:b/>
          <w:bCs/>
          <w:sz w:val="24"/>
          <w:szCs w:val="24"/>
        </w:rPr>
      </w:pPr>
      <w:r w:rsidRPr="00C27855">
        <w:rPr>
          <w:b/>
          <w:bCs/>
          <w:sz w:val="24"/>
          <w:szCs w:val="24"/>
          <w:u w:val="single"/>
        </w:rPr>
        <w:t>Pour toute information</w:t>
      </w:r>
      <w:r>
        <w:rPr>
          <w:b/>
          <w:bCs/>
          <w:sz w:val="24"/>
          <w:szCs w:val="24"/>
        </w:rPr>
        <w:t> :</w:t>
      </w:r>
    </w:p>
    <w:p w14:paraId="0F3578F4" w14:textId="77777777" w:rsidR="00460E97" w:rsidRPr="00A94626" w:rsidRDefault="00460E97" w:rsidP="00460E97">
      <w:pPr>
        <w:spacing w:after="0"/>
        <w:jc w:val="center"/>
        <w:rPr>
          <w:sz w:val="24"/>
          <w:szCs w:val="24"/>
        </w:rPr>
      </w:pPr>
      <w:r w:rsidRPr="00A94626">
        <w:rPr>
          <w:b/>
          <w:bCs/>
          <w:sz w:val="24"/>
          <w:szCs w:val="24"/>
        </w:rPr>
        <w:t>Service instructeur</w:t>
      </w:r>
    </w:p>
    <w:p w14:paraId="116DEDE1" w14:textId="77777777" w:rsidR="00460E97" w:rsidRPr="00A94626" w:rsidRDefault="00460E97" w:rsidP="00460E97">
      <w:pPr>
        <w:spacing w:after="0"/>
        <w:jc w:val="center"/>
        <w:rPr>
          <w:sz w:val="24"/>
          <w:szCs w:val="24"/>
        </w:rPr>
      </w:pPr>
      <w:r w:rsidRPr="00A94626">
        <w:rPr>
          <w:sz w:val="24"/>
          <w:szCs w:val="24"/>
        </w:rPr>
        <w:t>Service Mer et Littoral – Direction de la Biodiversité et de la Mer</w:t>
      </w:r>
    </w:p>
    <w:p w14:paraId="414B7DEC" w14:textId="77777777" w:rsidR="00460E97" w:rsidRPr="002C29B9" w:rsidRDefault="00460E97" w:rsidP="00460E97">
      <w:pPr>
        <w:spacing w:after="0"/>
        <w:jc w:val="center"/>
        <w:rPr>
          <w:sz w:val="24"/>
          <w:szCs w:val="24"/>
        </w:rPr>
      </w:pPr>
      <w:r w:rsidRPr="002C29B9">
        <w:rPr>
          <w:sz w:val="24"/>
          <w:szCs w:val="24"/>
        </w:rPr>
        <w:t>Contact :</w:t>
      </w:r>
    </w:p>
    <w:p w14:paraId="082A8E85" w14:textId="77777777" w:rsidR="00460E97" w:rsidRPr="002C29B9" w:rsidRDefault="00460E97" w:rsidP="00460E97">
      <w:pPr>
        <w:spacing w:after="0"/>
        <w:jc w:val="center"/>
        <w:rPr>
          <w:sz w:val="24"/>
          <w:szCs w:val="24"/>
        </w:rPr>
      </w:pPr>
      <w:r w:rsidRPr="009C0BE3">
        <w:rPr>
          <w:color w:val="0563C1"/>
          <w:sz w:val="24"/>
          <w:szCs w:val="24"/>
        </w:rPr>
        <w:t>lescaffre@maregionsud.fr</w:t>
      </w:r>
      <w:r w:rsidRPr="009C0BE3">
        <w:rPr>
          <w:color w:val="0070C0"/>
          <w:sz w:val="24"/>
          <w:szCs w:val="24"/>
        </w:rPr>
        <w:t xml:space="preserve"> </w:t>
      </w:r>
      <w:r w:rsidRPr="002C29B9">
        <w:rPr>
          <w:sz w:val="24"/>
          <w:szCs w:val="24"/>
        </w:rPr>
        <w:t>/</w:t>
      </w:r>
    </w:p>
    <w:p w14:paraId="63AA383D" w14:textId="77777777" w:rsidR="00460E97" w:rsidRPr="002C29B9" w:rsidRDefault="0045318B" w:rsidP="00460E97">
      <w:pPr>
        <w:spacing w:after="0"/>
        <w:jc w:val="center"/>
        <w:rPr>
          <w:sz w:val="24"/>
          <w:szCs w:val="24"/>
        </w:rPr>
      </w:pPr>
      <w:hyperlink r:id="rId14" w:history="1">
        <w:r w:rsidR="00460E97" w:rsidRPr="009C0BE3">
          <w:rPr>
            <w:rStyle w:val="Lienhypertexte"/>
            <w:color w:val="0563C1"/>
            <w:sz w:val="24"/>
            <w:szCs w:val="24"/>
          </w:rPr>
          <w:t>feampa</w:t>
        </w:r>
        <w:r w:rsidR="00460E97" w:rsidRPr="00D23062">
          <w:rPr>
            <w:rStyle w:val="Lienhypertexte"/>
            <w:sz w:val="24"/>
            <w:szCs w:val="24"/>
          </w:rPr>
          <w:t>@maregionsud.fr</w:t>
        </w:r>
      </w:hyperlink>
    </w:p>
    <w:p w14:paraId="143C77A5" w14:textId="77777777" w:rsidR="00460E97" w:rsidRDefault="00460E97" w:rsidP="00460E97">
      <w:pPr>
        <w:spacing w:after="0"/>
        <w:jc w:val="center"/>
        <w:rPr>
          <w:b/>
        </w:rPr>
      </w:pPr>
      <w:r w:rsidRPr="00A94626">
        <w:rPr>
          <w:sz w:val="24"/>
          <w:szCs w:val="24"/>
        </w:rPr>
        <w:t>04.88.73.6</w:t>
      </w:r>
      <w:r>
        <w:rPr>
          <w:sz w:val="24"/>
          <w:szCs w:val="24"/>
        </w:rPr>
        <w:t>5</w:t>
      </w:r>
      <w:r w:rsidRPr="00A94626">
        <w:rPr>
          <w:sz w:val="24"/>
          <w:szCs w:val="24"/>
        </w:rPr>
        <w:t>.</w:t>
      </w:r>
      <w:r>
        <w:rPr>
          <w:sz w:val="24"/>
          <w:szCs w:val="24"/>
        </w:rPr>
        <w:t>08</w:t>
      </w:r>
    </w:p>
    <w:p w14:paraId="02DDDBF5" w14:textId="6776BC43" w:rsidR="00460E97" w:rsidRDefault="00460E97" w:rsidP="00D32D5E">
      <w:pPr>
        <w:suppressAutoHyphens/>
        <w:autoSpaceDN w:val="0"/>
        <w:spacing w:line="256" w:lineRule="auto"/>
        <w:ind w:firstLine="708"/>
        <w:jc w:val="both"/>
        <w:textAlignment w:val="baseline"/>
        <w:rPr>
          <w:b/>
          <w:sz w:val="32"/>
          <w:szCs w:val="32"/>
        </w:rPr>
      </w:pPr>
    </w:p>
    <w:p w14:paraId="51214AC7" w14:textId="72E4F16A" w:rsidR="00B94ABD" w:rsidRPr="00B94ABD" w:rsidRDefault="00B94ABD" w:rsidP="00B94ABD">
      <w:pPr>
        <w:suppressAutoHyphens/>
        <w:autoSpaceDN w:val="0"/>
        <w:spacing w:line="256" w:lineRule="auto"/>
        <w:ind w:firstLine="708"/>
        <w:jc w:val="center"/>
        <w:textAlignment w:val="baseline"/>
        <w:rPr>
          <w:b/>
          <w:sz w:val="24"/>
          <w:szCs w:val="24"/>
        </w:rPr>
      </w:pPr>
      <w:r w:rsidRPr="00B94ABD">
        <w:rPr>
          <w:b/>
          <w:sz w:val="24"/>
          <w:szCs w:val="24"/>
        </w:rPr>
        <w:t>Annexe I</w:t>
      </w:r>
    </w:p>
    <w:p w14:paraId="6A1FDFAD" w14:textId="669D2D01" w:rsidR="0005395B" w:rsidRDefault="0005395B" w:rsidP="00FE2ABB">
      <w:pPr>
        <w:rPr>
          <w:b/>
        </w:rPr>
      </w:pPr>
      <w:r w:rsidRPr="0005395B">
        <w:rPr>
          <w:noProof/>
        </w:rPr>
        <w:drawing>
          <wp:inline distT="0" distB="0" distL="0" distR="0" wp14:anchorId="0232EAC2" wp14:editId="3A98E36B">
            <wp:extent cx="8576632" cy="6792452"/>
            <wp:effectExtent l="0" t="3175"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5400000">
                      <a:off x="0" y="0"/>
                      <a:ext cx="8601268" cy="6811963"/>
                    </a:xfrm>
                    <a:prstGeom prst="rect">
                      <a:avLst/>
                    </a:prstGeom>
                    <a:noFill/>
                    <a:ln>
                      <a:noFill/>
                    </a:ln>
                  </pic:spPr>
                </pic:pic>
              </a:graphicData>
            </a:graphic>
          </wp:inline>
        </w:drawing>
      </w:r>
    </w:p>
    <w:p w14:paraId="47C3F800" w14:textId="440E065F" w:rsidR="00DA7943" w:rsidRDefault="00DA7943" w:rsidP="00FE2ABB">
      <w:pPr>
        <w:rPr>
          <w:b/>
        </w:rPr>
      </w:pPr>
    </w:p>
    <w:p w14:paraId="69173357" w14:textId="3A197FBA" w:rsidR="00DA7943" w:rsidRDefault="00DA7943" w:rsidP="00FE2ABB">
      <w:pPr>
        <w:rPr>
          <w:b/>
        </w:rPr>
      </w:pPr>
    </w:p>
    <w:p w14:paraId="7F45C45B" w14:textId="7ECD0178" w:rsidR="00DA7943" w:rsidRPr="00B94ABD" w:rsidRDefault="00B94ABD" w:rsidP="00B94ABD">
      <w:pPr>
        <w:jc w:val="center"/>
        <w:rPr>
          <w:b/>
          <w:sz w:val="24"/>
          <w:szCs w:val="24"/>
        </w:rPr>
      </w:pPr>
      <w:r w:rsidRPr="00B94ABD">
        <w:rPr>
          <w:b/>
          <w:sz w:val="24"/>
          <w:szCs w:val="24"/>
        </w:rPr>
        <w:t>Annexe II</w:t>
      </w:r>
    </w:p>
    <w:p w14:paraId="1074597E" w14:textId="35184C35" w:rsidR="00DA7943" w:rsidRDefault="00FB4E88" w:rsidP="00FE2ABB">
      <w:pPr>
        <w:rPr>
          <w:b/>
        </w:rPr>
      </w:pPr>
      <w:r w:rsidRPr="00FB4E88">
        <w:rPr>
          <w:noProof/>
        </w:rPr>
        <w:drawing>
          <wp:inline distT="0" distB="0" distL="0" distR="0" wp14:anchorId="62435CB5" wp14:editId="486B68CB">
            <wp:extent cx="6661150" cy="6930390"/>
            <wp:effectExtent l="0" t="0" r="635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661150" cy="6930390"/>
                    </a:xfrm>
                    <a:prstGeom prst="rect">
                      <a:avLst/>
                    </a:prstGeom>
                    <a:noFill/>
                    <a:ln>
                      <a:noFill/>
                    </a:ln>
                  </pic:spPr>
                </pic:pic>
              </a:graphicData>
            </a:graphic>
          </wp:inline>
        </w:drawing>
      </w:r>
    </w:p>
    <w:p w14:paraId="21146DE7" w14:textId="77777777" w:rsidR="006703CB" w:rsidRDefault="006703CB" w:rsidP="00545B87">
      <w:pPr>
        <w:rPr>
          <w:b/>
        </w:rPr>
      </w:pPr>
    </w:p>
    <w:sectPr w:rsidR="006703CB" w:rsidSect="00D314D5">
      <w:footerReference w:type="default" r:id="rId17"/>
      <w:pgSz w:w="11906" w:h="16838"/>
      <w:pgMar w:top="709"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C8B89" w14:textId="77777777" w:rsidR="001212C9" w:rsidRDefault="001212C9" w:rsidP="001212C9">
      <w:pPr>
        <w:spacing w:after="0" w:line="240" w:lineRule="auto"/>
      </w:pPr>
      <w:r>
        <w:separator/>
      </w:r>
    </w:p>
  </w:endnote>
  <w:endnote w:type="continuationSeparator" w:id="0">
    <w:p w14:paraId="4F4517BC" w14:textId="77777777" w:rsidR="001212C9" w:rsidRDefault="001212C9" w:rsidP="001212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809223"/>
      <w:docPartObj>
        <w:docPartGallery w:val="Page Numbers (Bottom of Page)"/>
        <w:docPartUnique/>
      </w:docPartObj>
    </w:sdtPr>
    <w:sdtEndPr/>
    <w:sdtContent>
      <w:p w14:paraId="2318BBF9" w14:textId="40D6EF03" w:rsidR="001212C9" w:rsidRDefault="001212C9">
        <w:pPr>
          <w:pStyle w:val="Pieddepage"/>
          <w:jc w:val="right"/>
        </w:pPr>
        <w:r>
          <w:fldChar w:fldCharType="begin"/>
        </w:r>
        <w:r>
          <w:instrText>PAGE   \* MERGEFORMAT</w:instrText>
        </w:r>
        <w:r>
          <w:fldChar w:fldCharType="separate"/>
        </w:r>
        <w:r>
          <w:t>2</w:t>
        </w:r>
        <w:r>
          <w:fldChar w:fldCharType="end"/>
        </w:r>
      </w:p>
    </w:sdtContent>
  </w:sdt>
  <w:p w14:paraId="7309493F" w14:textId="77777777" w:rsidR="001212C9" w:rsidRDefault="001212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21B5" w14:textId="77777777" w:rsidR="001212C9" w:rsidRDefault="001212C9" w:rsidP="001212C9">
      <w:pPr>
        <w:spacing w:after="0" w:line="240" w:lineRule="auto"/>
      </w:pPr>
      <w:r>
        <w:separator/>
      </w:r>
    </w:p>
  </w:footnote>
  <w:footnote w:type="continuationSeparator" w:id="0">
    <w:p w14:paraId="3249D261" w14:textId="77777777" w:rsidR="001212C9" w:rsidRDefault="001212C9" w:rsidP="001212C9">
      <w:pPr>
        <w:spacing w:after="0" w:line="240" w:lineRule="auto"/>
      </w:pPr>
      <w:r>
        <w:continuationSeparator/>
      </w:r>
    </w:p>
  </w:footnote>
  <w:footnote w:id="1">
    <w:p w14:paraId="3EC48A9A" w14:textId="77777777" w:rsidR="00826273" w:rsidRDefault="00826273" w:rsidP="00826273">
      <w:r>
        <w:rPr>
          <w:rStyle w:val="Appelnotedebasdep"/>
        </w:rPr>
        <w:footnoteRef/>
      </w:r>
      <w:r>
        <w:t xml:space="preserve"> </w:t>
      </w:r>
      <w:r w:rsidRPr="00F61320">
        <w:rPr>
          <w:rFonts w:ascii="Times New Roman" w:hAnsi="Times New Roman" w:cs="Times New Roman"/>
          <w:bCs/>
          <w:i/>
          <w:iCs/>
          <w:szCs w:val="20"/>
        </w:rPr>
        <w:t>Au titre du FEAMP, les infrastructures sont entendues comme l’ensemble des ouvrages maritimes et terrestres, des bâtiments, installations et équipements à caractère collectif contribuant aux services portuaires et à l’activité économique de la filière</w:t>
      </w:r>
      <w:r>
        <w:rPr>
          <w:i/>
          <w:iCs/>
          <w:sz w:val="16"/>
          <w:szCs w:val="16"/>
        </w:rPr>
        <w:t>.</w:t>
      </w:r>
    </w:p>
    <w:p w14:paraId="15060E10" w14:textId="77777777" w:rsidR="00826273" w:rsidRDefault="00826273" w:rsidP="00826273">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2304"/>
        </w:tabs>
        <w:ind w:left="2304" w:hanging="360"/>
      </w:pPr>
      <w:rPr>
        <w:rFonts w:ascii="Symbol" w:hAnsi="Symbol" w:cs="Symbol"/>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sz w:val="22"/>
        <w:szCs w:val="2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sz w:val="22"/>
        <w:szCs w:val="2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Times New Roman"/>
        <w:szCs w:val="20"/>
        <w:lang w:val="fr-FR" w:eastAsia="fr-FR" w:bidi="ar-S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Times New Roman"/>
        <w:szCs w:val="20"/>
        <w:lang w:val="fr-FR" w:eastAsia="fr-FR" w:bidi="ar-SA"/>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Times New Roman"/>
        <w:szCs w:val="20"/>
        <w:lang w:val="fr-FR" w:eastAsia="fr-FR" w:bidi="ar-SA"/>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A"/>
    <w:multiLevelType w:val="multilevel"/>
    <w:tmpl w:val="0000000A"/>
    <w:name w:val="WW8Num10"/>
    <w:lvl w:ilvl="0">
      <w:start w:val="1"/>
      <w:numFmt w:val="bullet"/>
      <w:lvlText w:val=""/>
      <w:lvlJc w:val="left"/>
      <w:pPr>
        <w:tabs>
          <w:tab w:val="num" w:pos="700"/>
        </w:tabs>
        <w:ind w:left="700" w:hanging="360"/>
      </w:pPr>
      <w:rPr>
        <w:rFonts w:ascii="Symbol" w:hAnsi="Symbol" w:cs="Symbol"/>
        <w:szCs w:val="20"/>
        <w:lang w:val="fr-FR" w:eastAsia="fr-FR" w:bidi="ar-SA"/>
      </w:rPr>
    </w:lvl>
    <w:lvl w:ilvl="1">
      <w:start w:val="1"/>
      <w:numFmt w:val="bullet"/>
      <w:lvlText w:val="◦"/>
      <w:lvlJc w:val="left"/>
      <w:pPr>
        <w:tabs>
          <w:tab w:val="num" w:pos="1060"/>
        </w:tabs>
        <w:ind w:left="1060" w:hanging="360"/>
      </w:pPr>
      <w:rPr>
        <w:rFonts w:ascii="OpenSymbol" w:hAnsi="OpenSymbol" w:cs="Courier New"/>
      </w:rPr>
    </w:lvl>
    <w:lvl w:ilvl="2">
      <w:start w:val="1"/>
      <w:numFmt w:val="bullet"/>
      <w:lvlText w:val="▪"/>
      <w:lvlJc w:val="left"/>
      <w:pPr>
        <w:tabs>
          <w:tab w:val="num" w:pos="1420"/>
        </w:tabs>
        <w:ind w:left="1420" w:hanging="360"/>
      </w:pPr>
      <w:rPr>
        <w:rFonts w:ascii="OpenSymbol" w:hAnsi="OpenSymbol" w:cs="Courier New"/>
      </w:rPr>
    </w:lvl>
    <w:lvl w:ilvl="3">
      <w:start w:val="1"/>
      <w:numFmt w:val="bullet"/>
      <w:lvlText w:val=""/>
      <w:lvlJc w:val="left"/>
      <w:pPr>
        <w:tabs>
          <w:tab w:val="num" w:pos="1780"/>
        </w:tabs>
        <w:ind w:left="1780" w:hanging="360"/>
      </w:pPr>
      <w:rPr>
        <w:rFonts w:ascii="Symbol" w:hAnsi="Symbol" w:cs="Symbol"/>
        <w:szCs w:val="20"/>
        <w:lang w:val="fr-FR" w:eastAsia="fr-FR" w:bidi="ar-SA"/>
      </w:rPr>
    </w:lvl>
    <w:lvl w:ilvl="4">
      <w:start w:val="1"/>
      <w:numFmt w:val="bullet"/>
      <w:lvlText w:val="◦"/>
      <w:lvlJc w:val="left"/>
      <w:pPr>
        <w:tabs>
          <w:tab w:val="num" w:pos="2140"/>
        </w:tabs>
        <w:ind w:left="2140" w:hanging="360"/>
      </w:pPr>
      <w:rPr>
        <w:rFonts w:ascii="OpenSymbol" w:hAnsi="OpenSymbol" w:cs="Courier New"/>
      </w:rPr>
    </w:lvl>
    <w:lvl w:ilvl="5">
      <w:start w:val="1"/>
      <w:numFmt w:val="bullet"/>
      <w:lvlText w:val="▪"/>
      <w:lvlJc w:val="left"/>
      <w:pPr>
        <w:tabs>
          <w:tab w:val="num" w:pos="2500"/>
        </w:tabs>
        <w:ind w:left="2500" w:hanging="360"/>
      </w:pPr>
      <w:rPr>
        <w:rFonts w:ascii="OpenSymbol" w:hAnsi="OpenSymbol" w:cs="Courier New"/>
      </w:rPr>
    </w:lvl>
    <w:lvl w:ilvl="6">
      <w:start w:val="1"/>
      <w:numFmt w:val="bullet"/>
      <w:lvlText w:val=""/>
      <w:lvlJc w:val="left"/>
      <w:pPr>
        <w:tabs>
          <w:tab w:val="num" w:pos="2860"/>
        </w:tabs>
        <w:ind w:left="2860" w:hanging="360"/>
      </w:pPr>
      <w:rPr>
        <w:rFonts w:ascii="Symbol" w:hAnsi="Symbol" w:cs="Symbol"/>
        <w:szCs w:val="20"/>
        <w:lang w:val="fr-FR" w:eastAsia="fr-FR" w:bidi="ar-SA"/>
      </w:rPr>
    </w:lvl>
    <w:lvl w:ilvl="7">
      <w:start w:val="1"/>
      <w:numFmt w:val="bullet"/>
      <w:lvlText w:val="◦"/>
      <w:lvlJc w:val="left"/>
      <w:pPr>
        <w:tabs>
          <w:tab w:val="num" w:pos="3220"/>
        </w:tabs>
        <w:ind w:left="3220" w:hanging="360"/>
      </w:pPr>
      <w:rPr>
        <w:rFonts w:ascii="OpenSymbol" w:hAnsi="OpenSymbol" w:cs="Courier New"/>
      </w:rPr>
    </w:lvl>
    <w:lvl w:ilvl="8">
      <w:start w:val="1"/>
      <w:numFmt w:val="bullet"/>
      <w:lvlText w:val="▪"/>
      <w:lvlJc w:val="left"/>
      <w:pPr>
        <w:tabs>
          <w:tab w:val="num" w:pos="3580"/>
        </w:tabs>
        <w:ind w:left="3580" w:hanging="360"/>
      </w:pPr>
      <w:rPr>
        <w:rFonts w:ascii="OpenSymbol" w:hAnsi="OpenSymbol" w:cs="Courier New"/>
      </w:rPr>
    </w:lvl>
  </w:abstractNum>
  <w:abstractNum w:abstractNumId="4" w15:restartNumberingAfterBreak="0">
    <w:nsid w:val="0000000B"/>
    <w:multiLevelType w:val="multilevel"/>
    <w:tmpl w:val="0000000B"/>
    <w:name w:val="WW8Num11"/>
    <w:lvl w:ilvl="0">
      <w:start w:val="1"/>
      <w:numFmt w:val="bullet"/>
      <w:lvlText w:val=""/>
      <w:lvlJc w:val="left"/>
      <w:pPr>
        <w:tabs>
          <w:tab w:val="num" w:pos="740"/>
        </w:tabs>
        <w:ind w:left="740" w:hanging="360"/>
      </w:pPr>
      <w:rPr>
        <w:rFonts w:ascii="Symbol" w:hAnsi="Symbol" w:cs="Symbol"/>
      </w:rPr>
    </w:lvl>
    <w:lvl w:ilvl="1">
      <w:start w:val="1"/>
      <w:numFmt w:val="bullet"/>
      <w:lvlText w:val="◦"/>
      <w:lvlJc w:val="left"/>
      <w:pPr>
        <w:tabs>
          <w:tab w:val="num" w:pos="1100"/>
        </w:tabs>
        <w:ind w:left="1100" w:hanging="360"/>
      </w:pPr>
      <w:rPr>
        <w:rFonts w:ascii="OpenSymbol" w:hAnsi="OpenSymbol" w:cs="Courier New"/>
      </w:rPr>
    </w:lvl>
    <w:lvl w:ilvl="2">
      <w:start w:val="1"/>
      <w:numFmt w:val="bullet"/>
      <w:lvlText w:val="▪"/>
      <w:lvlJc w:val="left"/>
      <w:pPr>
        <w:tabs>
          <w:tab w:val="num" w:pos="1460"/>
        </w:tabs>
        <w:ind w:left="1460" w:hanging="360"/>
      </w:pPr>
      <w:rPr>
        <w:rFonts w:ascii="OpenSymbol" w:hAnsi="OpenSymbol" w:cs="Courier New"/>
      </w:rPr>
    </w:lvl>
    <w:lvl w:ilvl="3">
      <w:start w:val="1"/>
      <w:numFmt w:val="bullet"/>
      <w:lvlText w:val=""/>
      <w:lvlJc w:val="left"/>
      <w:pPr>
        <w:tabs>
          <w:tab w:val="num" w:pos="1820"/>
        </w:tabs>
        <w:ind w:left="1820" w:hanging="360"/>
      </w:pPr>
      <w:rPr>
        <w:rFonts w:ascii="Symbol" w:hAnsi="Symbol" w:cs="Symbol"/>
      </w:rPr>
    </w:lvl>
    <w:lvl w:ilvl="4">
      <w:start w:val="1"/>
      <w:numFmt w:val="bullet"/>
      <w:lvlText w:val="◦"/>
      <w:lvlJc w:val="left"/>
      <w:pPr>
        <w:tabs>
          <w:tab w:val="num" w:pos="2180"/>
        </w:tabs>
        <w:ind w:left="2180" w:hanging="360"/>
      </w:pPr>
      <w:rPr>
        <w:rFonts w:ascii="OpenSymbol" w:hAnsi="OpenSymbol" w:cs="Courier New"/>
      </w:rPr>
    </w:lvl>
    <w:lvl w:ilvl="5">
      <w:start w:val="1"/>
      <w:numFmt w:val="bullet"/>
      <w:lvlText w:val="▪"/>
      <w:lvlJc w:val="left"/>
      <w:pPr>
        <w:tabs>
          <w:tab w:val="num" w:pos="2540"/>
        </w:tabs>
        <w:ind w:left="2540" w:hanging="360"/>
      </w:pPr>
      <w:rPr>
        <w:rFonts w:ascii="OpenSymbol" w:hAnsi="OpenSymbol" w:cs="Courier New"/>
      </w:rPr>
    </w:lvl>
    <w:lvl w:ilvl="6">
      <w:start w:val="1"/>
      <w:numFmt w:val="bullet"/>
      <w:lvlText w:val=""/>
      <w:lvlJc w:val="left"/>
      <w:pPr>
        <w:tabs>
          <w:tab w:val="num" w:pos="2900"/>
        </w:tabs>
        <w:ind w:left="2900" w:hanging="360"/>
      </w:pPr>
      <w:rPr>
        <w:rFonts w:ascii="Symbol" w:hAnsi="Symbol" w:cs="Symbol"/>
      </w:rPr>
    </w:lvl>
    <w:lvl w:ilvl="7">
      <w:start w:val="1"/>
      <w:numFmt w:val="bullet"/>
      <w:lvlText w:val="◦"/>
      <w:lvlJc w:val="left"/>
      <w:pPr>
        <w:tabs>
          <w:tab w:val="num" w:pos="3260"/>
        </w:tabs>
        <w:ind w:left="3260" w:hanging="360"/>
      </w:pPr>
      <w:rPr>
        <w:rFonts w:ascii="OpenSymbol" w:hAnsi="OpenSymbol" w:cs="Courier New"/>
      </w:rPr>
    </w:lvl>
    <w:lvl w:ilvl="8">
      <w:start w:val="1"/>
      <w:numFmt w:val="bullet"/>
      <w:lvlText w:val="▪"/>
      <w:lvlJc w:val="left"/>
      <w:pPr>
        <w:tabs>
          <w:tab w:val="num" w:pos="3620"/>
        </w:tabs>
        <w:ind w:left="3620" w:hanging="360"/>
      </w:pPr>
      <w:rPr>
        <w:rFonts w:ascii="OpenSymbol" w:hAnsi="OpenSymbol" w:cs="Courier New"/>
      </w:rPr>
    </w:lvl>
  </w:abstractNum>
  <w:abstractNum w:abstractNumId="5" w15:restartNumberingAfterBreak="0">
    <w:nsid w:val="00241BEC"/>
    <w:multiLevelType w:val="hybridMultilevel"/>
    <w:tmpl w:val="84E615DA"/>
    <w:lvl w:ilvl="0" w:tplc="13D2C380">
      <w:numFmt w:val="bullet"/>
      <w:lvlText w:val="-"/>
      <w:lvlJc w:val="left"/>
      <w:pPr>
        <w:ind w:left="491" w:hanging="360"/>
      </w:pPr>
      <w:rPr>
        <w:rFonts w:ascii="Calibri" w:eastAsiaTheme="minorHAnsi" w:hAnsi="Calibri" w:cs="Calibri" w:hint="default"/>
      </w:rPr>
    </w:lvl>
    <w:lvl w:ilvl="1" w:tplc="040C0003" w:tentative="1">
      <w:start w:val="1"/>
      <w:numFmt w:val="bullet"/>
      <w:lvlText w:val="o"/>
      <w:lvlJc w:val="left"/>
      <w:pPr>
        <w:ind w:left="1211" w:hanging="360"/>
      </w:pPr>
      <w:rPr>
        <w:rFonts w:ascii="Courier New" w:hAnsi="Courier New" w:cs="Courier New" w:hint="default"/>
      </w:rPr>
    </w:lvl>
    <w:lvl w:ilvl="2" w:tplc="040C0005" w:tentative="1">
      <w:start w:val="1"/>
      <w:numFmt w:val="bullet"/>
      <w:lvlText w:val=""/>
      <w:lvlJc w:val="left"/>
      <w:pPr>
        <w:ind w:left="1931" w:hanging="360"/>
      </w:pPr>
      <w:rPr>
        <w:rFonts w:ascii="Wingdings" w:hAnsi="Wingdings" w:hint="default"/>
      </w:rPr>
    </w:lvl>
    <w:lvl w:ilvl="3" w:tplc="040C0001" w:tentative="1">
      <w:start w:val="1"/>
      <w:numFmt w:val="bullet"/>
      <w:lvlText w:val=""/>
      <w:lvlJc w:val="left"/>
      <w:pPr>
        <w:ind w:left="2651" w:hanging="360"/>
      </w:pPr>
      <w:rPr>
        <w:rFonts w:ascii="Symbol" w:hAnsi="Symbol" w:hint="default"/>
      </w:rPr>
    </w:lvl>
    <w:lvl w:ilvl="4" w:tplc="040C0003" w:tentative="1">
      <w:start w:val="1"/>
      <w:numFmt w:val="bullet"/>
      <w:lvlText w:val="o"/>
      <w:lvlJc w:val="left"/>
      <w:pPr>
        <w:ind w:left="3371" w:hanging="360"/>
      </w:pPr>
      <w:rPr>
        <w:rFonts w:ascii="Courier New" w:hAnsi="Courier New" w:cs="Courier New" w:hint="default"/>
      </w:rPr>
    </w:lvl>
    <w:lvl w:ilvl="5" w:tplc="040C0005" w:tentative="1">
      <w:start w:val="1"/>
      <w:numFmt w:val="bullet"/>
      <w:lvlText w:val=""/>
      <w:lvlJc w:val="left"/>
      <w:pPr>
        <w:ind w:left="4091" w:hanging="360"/>
      </w:pPr>
      <w:rPr>
        <w:rFonts w:ascii="Wingdings" w:hAnsi="Wingdings" w:hint="default"/>
      </w:rPr>
    </w:lvl>
    <w:lvl w:ilvl="6" w:tplc="040C0001" w:tentative="1">
      <w:start w:val="1"/>
      <w:numFmt w:val="bullet"/>
      <w:lvlText w:val=""/>
      <w:lvlJc w:val="left"/>
      <w:pPr>
        <w:ind w:left="4811" w:hanging="360"/>
      </w:pPr>
      <w:rPr>
        <w:rFonts w:ascii="Symbol" w:hAnsi="Symbol" w:hint="default"/>
      </w:rPr>
    </w:lvl>
    <w:lvl w:ilvl="7" w:tplc="040C0003" w:tentative="1">
      <w:start w:val="1"/>
      <w:numFmt w:val="bullet"/>
      <w:lvlText w:val="o"/>
      <w:lvlJc w:val="left"/>
      <w:pPr>
        <w:ind w:left="5531" w:hanging="360"/>
      </w:pPr>
      <w:rPr>
        <w:rFonts w:ascii="Courier New" w:hAnsi="Courier New" w:cs="Courier New" w:hint="default"/>
      </w:rPr>
    </w:lvl>
    <w:lvl w:ilvl="8" w:tplc="040C0005" w:tentative="1">
      <w:start w:val="1"/>
      <w:numFmt w:val="bullet"/>
      <w:lvlText w:val=""/>
      <w:lvlJc w:val="left"/>
      <w:pPr>
        <w:ind w:left="6251" w:hanging="360"/>
      </w:pPr>
      <w:rPr>
        <w:rFonts w:ascii="Wingdings" w:hAnsi="Wingdings" w:hint="default"/>
      </w:rPr>
    </w:lvl>
  </w:abstractNum>
  <w:abstractNum w:abstractNumId="6" w15:restartNumberingAfterBreak="0">
    <w:nsid w:val="07D11E0A"/>
    <w:multiLevelType w:val="hybridMultilevel"/>
    <w:tmpl w:val="ACE0C286"/>
    <w:lvl w:ilvl="0" w:tplc="A8B003CA">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15:restartNumberingAfterBreak="0">
    <w:nsid w:val="0DB03D87"/>
    <w:multiLevelType w:val="multilevel"/>
    <w:tmpl w:val="50FEA2AA"/>
    <w:lvl w:ilvl="0">
      <w:start w:val="1"/>
      <w:numFmt w:val="upperLetter"/>
      <w:lvlText w:val="%1."/>
      <w:lvlJc w:val="left"/>
      <w:pPr>
        <w:ind w:left="853" w:hanging="360"/>
      </w:pPr>
    </w:lvl>
    <w:lvl w:ilvl="1">
      <w:start w:val="1"/>
      <w:numFmt w:val="lowerLetter"/>
      <w:lvlText w:val="%2."/>
      <w:lvlJc w:val="left"/>
      <w:pPr>
        <w:ind w:left="1649" w:hanging="360"/>
      </w:pPr>
    </w:lvl>
    <w:lvl w:ilvl="2">
      <w:start w:val="1"/>
      <w:numFmt w:val="lowerRoman"/>
      <w:lvlText w:val="%3."/>
      <w:lvlJc w:val="right"/>
      <w:pPr>
        <w:ind w:left="2369" w:hanging="180"/>
      </w:pPr>
    </w:lvl>
    <w:lvl w:ilvl="3">
      <w:start w:val="1"/>
      <w:numFmt w:val="decimal"/>
      <w:lvlText w:val="%4."/>
      <w:lvlJc w:val="left"/>
      <w:pPr>
        <w:ind w:left="3089" w:hanging="360"/>
      </w:pPr>
    </w:lvl>
    <w:lvl w:ilvl="4">
      <w:start w:val="1"/>
      <w:numFmt w:val="lowerLetter"/>
      <w:lvlText w:val="%5."/>
      <w:lvlJc w:val="left"/>
      <w:pPr>
        <w:ind w:left="3809" w:hanging="360"/>
      </w:pPr>
    </w:lvl>
    <w:lvl w:ilvl="5">
      <w:start w:val="1"/>
      <w:numFmt w:val="lowerRoman"/>
      <w:lvlText w:val="%6."/>
      <w:lvlJc w:val="right"/>
      <w:pPr>
        <w:ind w:left="4529" w:hanging="180"/>
      </w:pPr>
    </w:lvl>
    <w:lvl w:ilvl="6">
      <w:start w:val="1"/>
      <w:numFmt w:val="decimal"/>
      <w:lvlText w:val="%7."/>
      <w:lvlJc w:val="left"/>
      <w:pPr>
        <w:ind w:left="5249" w:hanging="360"/>
      </w:pPr>
    </w:lvl>
    <w:lvl w:ilvl="7">
      <w:start w:val="1"/>
      <w:numFmt w:val="lowerLetter"/>
      <w:lvlText w:val="%8."/>
      <w:lvlJc w:val="left"/>
      <w:pPr>
        <w:ind w:left="5969" w:hanging="360"/>
      </w:pPr>
    </w:lvl>
    <w:lvl w:ilvl="8">
      <w:start w:val="1"/>
      <w:numFmt w:val="lowerRoman"/>
      <w:lvlText w:val="%9."/>
      <w:lvlJc w:val="right"/>
      <w:pPr>
        <w:ind w:left="6689" w:hanging="180"/>
      </w:pPr>
    </w:lvl>
  </w:abstractNum>
  <w:abstractNum w:abstractNumId="8" w15:restartNumberingAfterBreak="0">
    <w:nsid w:val="19B14A1F"/>
    <w:multiLevelType w:val="hybridMultilevel"/>
    <w:tmpl w:val="B5D2D4E6"/>
    <w:lvl w:ilvl="0" w:tplc="4E208A14">
      <w:start w:val="1"/>
      <w:numFmt w:val="upperLetter"/>
      <w:lvlText w:val="%1."/>
      <w:lvlJc w:val="left"/>
      <w:pPr>
        <w:ind w:left="786" w:hanging="360"/>
      </w:pPr>
      <w:rPr>
        <w:rFonts w:hint="default"/>
        <w:color w:val="auto"/>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9" w15:restartNumberingAfterBreak="0">
    <w:nsid w:val="1B024806"/>
    <w:multiLevelType w:val="hybridMultilevel"/>
    <w:tmpl w:val="5DE21A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657987"/>
    <w:multiLevelType w:val="hybridMultilevel"/>
    <w:tmpl w:val="76AC40B4"/>
    <w:lvl w:ilvl="0" w:tplc="82823432">
      <w:start w:val="27"/>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1" w15:restartNumberingAfterBreak="0">
    <w:nsid w:val="370B5614"/>
    <w:multiLevelType w:val="hybridMultilevel"/>
    <w:tmpl w:val="3ECA5D82"/>
    <w:lvl w:ilvl="0" w:tplc="D9869D7C">
      <w:start w:val="2"/>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2" w15:restartNumberingAfterBreak="0">
    <w:nsid w:val="3D081360"/>
    <w:multiLevelType w:val="multilevel"/>
    <w:tmpl w:val="DCE49550"/>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3" w15:restartNumberingAfterBreak="0">
    <w:nsid w:val="402D3A58"/>
    <w:multiLevelType w:val="hybridMultilevel"/>
    <w:tmpl w:val="84E8229A"/>
    <w:lvl w:ilvl="0" w:tplc="F72CE462">
      <w:start w:val="1"/>
      <w:numFmt w:val="upperLetter"/>
      <w:lvlText w:val="%1."/>
      <w:lvlJc w:val="left"/>
      <w:pPr>
        <w:ind w:left="643"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2D86C49"/>
    <w:multiLevelType w:val="hybridMultilevel"/>
    <w:tmpl w:val="0A5CB490"/>
    <w:lvl w:ilvl="0" w:tplc="826039F2">
      <w:start w:val="1"/>
      <w:numFmt w:val="decimal"/>
      <w:lvlText w:val="%1)"/>
      <w:lvlJc w:val="left"/>
      <w:pPr>
        <w:ind w:left="1210" w:hanging="360"/>
      </w:pPr>
      <w:rPr>
        <w:rFonts w:hint="default"/>
      </w:rPr>
    </w:lvl>
    <w:lvl w:ilvl="1" w:tplc="040C0019" w:tentative="1">
      <w:start w:val="1"/>
      <w:numFmt w:val="lowerLetter"/>
      <w:lvlText w:val="%2."/>
      <w:lvlJc w:val="left"/>
      <w:pPr>
        <w:ind w:left="1721" w:hanging="360"/>
      </w:pPr>
    </w:lvl>
    <w:lvl w:ilvl="2" w:tplc="040C001B" w:tentative="1">
      <w:start w:val="1"/>
      <w:numFmt w:val="lowerRoman"/>
      <w:lvlText w:val="%3."/>
      <w:lvlJc w:val="right"/>
      <w:pPr>
        <w:ind w:left="2441" w:hanging="180"/>
      </w:pPr>
    </w:lvl>
    <w:lvl w:ilvl="3" w:tplc="040C000F" w:tentative="1">
      <w:start w:val="1"/>
      <w:numFmt w:val="decimal"/>
      <w:lvlText w:val="%4."/>
      <w:lvlJc w:val="left"/>
      <w:pPr>
        <w:ind w:left="3161" w:hanging="360"/>
      </w:pPr>
    </w:lvl>
    <w:lvl w:ilvl="4" w:tplc="040C0019" w:tentative="1">
      <w:start w:val="1"/>
      <w:numFmt w:val="lowerLetter"/>
      <w:lvlText w:val="%5."/>
      <w:lvlJc w:val="left"/>
      <w:pPr>
        <w:ind w:left="3881" w:hanging="360"/>
      </w:pPr>
    </w:lvl>
    <w:lvl w:ilvl="5" w:tplc="040C001B" w:tentative="1">
      <w:start w:val="1"/>
      <w:numFmt w:val="lowerRoman"/>
      <w:lvlText w:val="%6."/>
      <w:lvlJc w:val="right"/>
      <w:pPr>
        <w:ind w:left="4601" w:hanging="180"/>
      </w:pPr>
    </w:lvl>
    <w:lvl w:ilvl="6" w:tplc="040C000F" w:tentative="1">
      <w:start w:val="1"/>
      <w:numFmt w:val="decimal"/>
      <w:lvlText w:val="%7."/>
      <w:lvlJc w:val="left"/>
      <w:pPr>
        <w:ind w:left="5321" w:hanging="360"/>
      </w:pPr>
    </w:lvl>
    <w:lvl w:ilvl="7" w:tplc="040C0019" w:tentative="1">
      <w:start w:val="1"/>
      <w:numFmt w:val="lowerLetter"/>
      <w:lvlText w:val="%8."/>
      <w:lvlJc w:val="left"/>
      <w:pPr>
        <w:ind w:left="6041" w:hanging="360"/>
      </w:pPr>
    </w:lvl>
    <w:lvl w:ilvl="8" w:tplc="040C001B" w:tentative="1">
      <w:start w:val="1"/>
      <w:numFmt w:val="lowerRoman"/>
      <w:lvlText w:val="%9."/>
      <w:lvlJc w:val="right"/>
      <w:pPr>
        <w:ind w:left="6761" w:hanging="180"/>
      </w:pPr>
    </w:lvl>
  </w:abstractNum>
  <w:abstractNum w:abstractNumId="15" w15:restartNumberingAfterBreak="0">
    <w:nsid w:val="5D0C4DCE"/>
    <w:multiLevelType w:val="hybridMultilevel"/>
    <w:tmpl w:val="550C0528"/>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614D08AC"/>
    <w:multiLevelType w:val="hybridMultilevel"/>
    <w:tmpl w:val="448E8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B65557"/>
    <w:multiLevelType w:val="multilevel"/>
    <w:tmpl w:val="89062D08"/>
    <w:lvl w:ilvl="0">
      <w:numFmt w:val="bullet"/>
      <w:lvlText w:val="-"/>
      <w:lvlJc w:val="left"/>
      <w:pPr>
        <w:ind w:left="786" w:hanging="360"/>
      </w:pPr>
      <w:rPr>
        <w:rFonts w:ascii="Calibri" w:eastAsia="Calibri" w:hAnsi="Calibri" w:cs="Calibri"/>
      </w:rPr>
    </w:lvl>
    <w:lvl w:ilvl="1">
      <w:numFmt w:val="bullet"/>
      <w:lvlText w:val="o"/>
      <w:lvlJc w:val="left"/>
      <w:pPr>
        <w:ind w:left="1506" w:hanging="360"/>
      </w:pPr>
      <w:rPr>
        <w:rFonts w:ascii="Courier New" w:hAnsi="Courier New" w:cs="Courier New"/>
      </w:rPr>
    </w:lvl>
    <w:lvl w:ilvl="2">
      <w:numFmt w:val="bullet"/>
      <w:lvlText w:val=""/>
      <w:lvlJc w:val="left"/>
      <w:pPr>
        <w:ind w:left="2226" w:hanging="360"/>
      </w:pPr>
      <w:rPr>
        <w:rFonts w:ascii="Wingdings" w:hAnsi="Wingdings"/>
      </w:rPr>
    </w:lvl>
    <w:lvl w:ilvl="3">
      <w:numFmt w:val="bullet"/>
      <w:lvlText w:val=""/>
      <w:lvlJc w:val="left"/>
      <w:pPr>
        <w:ind w:left="2946" w:hanging="360"/>
      </w:pPr>
      <w:rPr>
        <w:rFonts w:ascii="Symbol" w:hAnsi="Symbol"/>
      </w:rPr>
    </w:lvl>
    <w:lvl w:ilvl="4">
      <w:numFmt w:val="bullet"/>
      <w:lvlText w:val="o"/>
      <w:lvlJc w:val="left"/>
      <w:pPr>
        <w:ind w:left="3666" w:hanging="360"/>
      </w:pPr>
      <w:rPr>
        <w:rFonts w:ascii="Courier New" w:hAnsi="Courier New" w:cs="Courier New"/>
      </w:rPr>
    </w:lvl>
    <w:lvl w:ilvl="5">
      <w:numFmt w:val="bullet"/>
      <w:lvlText w:val=""/>
      <w:lvlJc w:val="left"/>
      <w:pPr>
        <w:ind w:left="4386" w:hanging="360"/>
      </w:pPr>
      <w:rPr>
        <w:rFonts w:ascii="Wingdings" w:hAnsi="Wingdings"/>
      </w:rPr>
    </w:lvl>
    <w:lvl w:ilvl="6">
      <w:numFmt w:val="bullet"/>
      <w:lvlText w:val=""/>
      <w:lvlJc w:val="left"/>
      <w:pPr>
        <w:ind w:left="5106" w:hanging="360"/>
      </w:pPr>
      <w:rPr>
        <w:rFonts w:ascii="Symbol" w:hAnsi="Symbol"/>
      </w:rPr>
    </w:lvl>
    <w:lvl w:ilvl="7">
      <w:numFmt w:val="bullet"/>
      <w:lvlText w:val="o"/>
      <w:lvlJc w:val="left"/>
      <w:pPr>
        <w:ind w:left="5826" w:hanging="360"/>
      </w:pPr>
      <w:rPr>
        <w:rFonts w:ascii="Courier New" w:hAnsi="Courier New" w:cs="Courier New"/>
      </w:rPr>
    </w:lvl>
    <w:lvl w:ilvl="8">
      <w:numFmt w:val="bullet"/>
      <w:lvlText w:val=""/>
      <w:lvlJc w:val="left"/>
      <w:pPr>
        <w:ind w:left="6546" w:hanging="360"/>
      </w:pPr>
      <w:rPr>
        <w:rFonts w:ascii="Wingdings" w:hAnsi="Wingdings"/>
      </w:rPr>
    </w:lvl>
  </w:abstractNum>
  <w:abstractNum w:abstractNumId="18" w15:restartNumberingAfterBreak="0">
    <w:nsid w:val="65C80368"/>
    <w:multiLevelType w:val="hybridMultilevel"/>
    <w:tmpl w:val="2AE85070"/>
    <w:lvl w:ilvl="0" w:tplc="697423B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33ED3"/>
    <w:multiLevelType w:val="hybridMultilevel"/>
    <w:tmpl w:val="3A4E1EAA"/>
    <w:lvl w:ilvl="0" w:tplc="4448FA70">
      <w:numFmt w:val="bullet"/>
      <w:lvlText w:val=""/>
      <w:lvlJc w:val="left"/>
      <w:pPr>
        <w:ind w:left="786" w:hanging="360"/>
      </w:pPr>
      <w:rPr>
        <w:rFonts w:ascii="Symbol" w:eastAsiaTheme="minorHAnsi" w:hAnsi="Symbol"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0" w15:restartNumberingAfterBreak="0">
    <w:nsid w:val="6F9866AB"/>
    <w:multiLevelType w:val="hybridMultilevel"/>
    <w:tmpl w:val="C884E71C"/>
    <w:lvl w:ilvl="0" w:tplc="8474D1E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790E570C"/>
    <w:multiLevelType w:val="hybridMultilevel"/>
    <w:tmpl w:val="E43ED2BE"/>
    <w:lvl w:ilvl="0" w:tplc="56020ACE">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CEE03C7"/>
    <w:multiLevelType w:val="hybridMultilevel"/>
    <w:tmpl w:val="1DD86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7612519">
    <w:abstractNumId w:val="13"/>
  </w:num>
  <w:num w:numId="2" w16cid:durableId="826439154">
    <w:abstractNumId w:val="20"/>
  </w:num>
  <w:num w:numId="3" w16cid:durableId="1098601331">
    <w:abstractNumId w:val="11"/>
  </w:num>
  <w:num w:numId="4" w16cid:durableId="499347468">
    <w:abstractNumId w:val="5"/>
  </w:num>
  <w:num w:numId="5" w16cid:durableId="141581606">
    <w:abstractNumId w:val="8"/>
  </w:num>
  <w:num w:numId="6" w16cid:durableId="371617382">
    <w:abstractNumId w:val="19"/>
  </w:num>
  <w:num w:numId="7" w16cid:durableId="1644458477">
    <w:abstractNumId w:val="6"/>
  </w:num>
  <w:num w:numId="8" w16cid:durableId="578558079">
    <w:abstractNumId w:val="10"/>
  </w:num>
  <w:num w:numId="9" w16cid:durableId="260382013">
    <w:abstractNumId w:val="7"/>
  </w:num>
  <w:num w:numId="10" w16cid:durableId="1664509887">
    <w:abstractNumId w:val="17"/>
  </w:num>
  <w:num w:numId="11" w16cid:durableId="1528718528">
    <w:abstractNumId w:val="12"/>
  </w:num>
  <w:num w:numId="12" w16cid:durableId="360128581">
    <w:abstractNumId w:val="14"/>
  </w:num>
  <w:num w:numId="13" w16cid:durableId="255214784">
    <w:abstractNumId w:val="9"/>
  </w:num>
  <w:num w:numId="14" w16cid:durableId="446001202">
    <w:abstractNumId w:val="16"/>
  </w:num>
  <w:num w:numId="15" w16cid:durableId="978730755">
    <w:abstractNumId w:val="15"/>
  </w:num>
  <w:num w:numId="16" w16cid:durableId="1611015161">
    <w:abstractNumId w:val="1"/>
  </w:num>
  <w:num w:numId="17" w16cid:durableId="1601794745">
    <w:abstractNumId w:val="0"/>
  </w:num>
  <w:num w:numId="18" w16cid:durableId="1820809082">
    <w:abstractNumId w:val="3"/>
  </w:num>
  <w:num w:numId="19" w16cid:durableId="191235107">
    <w:abstractNumId w:val="2"/>
  </w:num>
  <w:num w:numId="20" w16cid:durableId="1933468331">
    <w:abstractNumId w:val="4"/>
  </w:num>
  <w:num w:numId="21" w16cid:durableId="685978608">
    <w:abstractNumId w:val="18"/>
  </w:num>
  <w:num w:numId="22" w16cid:durableId="13192000">
    <w:abstractNumId w:val="21"/>
  </w:num>
  <w:num w:numId="23" w16cid:durableId="6798886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03B"/>
    <w:rsid w:val="00000466"/>
    <w:rsid w:val="00001EB1"/>
    <w:rsid w:val="00005B35"/>
    <w:rsid w:val="00012680"/>
    <w:rsid w:val="000157BD"/>
    <w:rsid w:val="00021353"/>
    <w:rsid w:val="000364C9"/>
    <w:rsid w:val="00036D8B"/>
    <w:rsid w:val="00036DBF"/>
    <w:rsid w:val="000376B6"/>
    <w:rsid w:val="0005395B"/>
    <w:rsid w:val="00056C0D"/>
    <w:rsid w:val="00073C0B"/>
    <w:rsid w:val="000778C1"/>
    <w:rsid w:val="00077CAB"/>
    <w:rsid w:val="00081A03"/>
    <w:rsid w:val="000839EC"/>
    <w:rsid w:val="000965EE"/>
    <w:rsid w:val="000A4A12"/>
    <w:rsid w:val="000B420D"/>
    <w:rsid w:val="000B530C"/>
    <w:rsid w:val="000C05C8"/>
    <w:rsid w:val="000C36B8"/>
    <w:rsid w:val="000C4695"/>
    <w:rsid w:val="000D4030"/>
    <w:rsid w:val="000E02C2"/>
    <w:rsid w:val="000F3C7E"/>
    <w:rsid w:val="00106AFF"/>
    <w:rsid w:val="00120845"/>
    <w:rsid w:val="001212C9"/>
    <w:rsid w:val="0013001B"/>
    <w:rsid w:val="00133450"/>
    <w:rsid w:val="00142BD6"/>
    <w:rsid w:val="00150538"/>
    <w:rsid w:val="00160D16"/>
    <w:rsid w:val="00164D27"/>
    <w:rsid w:val="00165BDE"/>
    <w:rsid w:val="001671F8"/>
    <w:rsid w:val="00175B02"/>
    <w:rsid w:val="00184BBE"/>
    <w:rsid w:val="001A4FAF"/>
    <w:rsid w:val="001B1C91"/>
    <w:rsid w:val="001D778D"/>
    <w:rsid w:val="001E5EAA"/>
    <w:rsid w:val="001E6019"/>
    <w:rsid w:val="001F1D32"/>
    <w:rsid w:val="00202C52"/>
    <w:rsid w:val="00206867"/>
    <w:rsid w:val="002077B6"/>
    <w:rsid w:val="00224D65"/>
    <w:rsid w:val="00224EE1"/>
    <w:rsid w:val="00225F72"/>
    <w:rsid w:val="002320EB"/>
    <w:rsid w:val="00237399"/>
    <w:rsid w:val="00237B1F"/>
    <w:rsid w:val="0025065C"/>
    <w:rsid w:val="00254FD4"/>
    <w:rsid w:val="002720B6"/>
    <w:rsid w:val="00281C56"/>
    <w:rsid w:val="002834A8"/>
    <w:rsid w:val="0028407C"/>
    <w:rsid w:val="00290D15"/>
    <w:rsid w:val="002A034A"/>
    <w:rsid w:val="002A2A3A"/>
    <w:rsid w:val="002A3A2E"/>
    <w:rsid w:val="002A4D0E"/>
    <w:rsid w:val="002A4FA2"/>
    <w:rsid w:val="002B4E41"/>
    <w:rsid w:val="002C29B9"/>
    <w:rsid w:val="002C3E7A"/>
    <w:rsid w:val="002C574B"/>
    <w:rsid w:val="002C6A41"/>
    <w:rsid w:val="002E106B"/>
    <w:rsid w:val="002E6DAF"/>
    <w:rsid w:val="002F356E"/>
    <w:rsid w:val="002F694D"/>
    <w:rsid w:val="00304F8B"/>
    <w:rsid w:val="00326083"/>
    <w:rsid w:val="00332C86"/>
    <w:rsid w:val="003342E4"/>
    <w:rsid w:val="0034325E"/>
    <w:rsid w:val="0034488B"/>
    <w:rsid w:val="00347B10"/>
    <w:rsid w:val="00352708"/>
    <w:rsid w:val="00354CF6"/>
    <w:rsid w:val="003635DF"/>
    <w:rsid w:val="0037745D"/>
    <w:rsid w:val="00393329"/>
    <w:rsid w:val="003A3EC4"/>
    <w:rsid w:val="003B06E6"/>
    <w:rsid w:val="003B7D04"/>
    <w:rsid w:val="003C3CDD"/>
    <w:rsid w:val="003C4C4F"/>
    <w:rsid w:val="003D0B07"/>
    <w:rsid w:val="003D2FF9"/>
    <w:rsid w:val="003D3E3E"/>
    <w:rsid w:val="003D698E"/>
    <w:rsid w:val="003D7805"/>
    <w:rsid w:val="003F2661"/>
    <w:rsid w:val="003F388F"/>
    <w:rsid w:val="00404DB4"/>
    <w:rsid w:val="0040667B"/>
    <w:rsid w:val="00406D46"/>
    <w:rsid w:val="00410E23"/>
    <w:rsid w:val="004277FB"/>
    <w:rsid w:val="00434915"/>
    <w:rsid w:val="0044353A"/>
    <w:rsid w:val="00443C3B"/>
    <w:rsid w:val="00444D7C"/>
    <w:rsid w:val="00445D40"/>
    <w:rsid w:val="0045207A"/>
    <w:rsid w:val="0045318B"/>
    <w:rsid w:val="00460E97"/>
    <w:rsid w:val="004618CF"/>
    <w:rsid w:val="004708BB"/>
    <w:rsid w:val="00475D56"/>
    <w:rsid w:val="004834EE"/>
    <w:rsid w:val="00484769"/>
    <w:rsid w:val="004915BA"/>
    <w:rsid w:val="00491CBD"/>
    <w:rsid w:val="0049616F"/>
    <w:rsid w:val="00496E6F"/>
    <w:rsid w:val="004B6B13"/>
    <w:rsid w:val="004B7E99"/>
    <w:rsid w:val="004C0F87"/>
    <w:rsid w:val="004C321F"/>
    <w:rsid w:val="004C3BED"/>
    <w:rsid w:val="004F49BF"/>
    <w:rsid w:val="005002B2"/>
    <w:rsid w:val="00522D76"/>
    <w:rsid w:val="005318BC"/>
    <w:rsid w:val="00536859"/>
    <w:rsid w:val="0053758D"/>
    <w:rsid w:val="0054294B"/>
    <w:rsid w:val="00545B87"/>
    <w:rsid w:val="00546594"/>
    <w:rsid w:val="005547D0"/>
    <w:rsid w:val="005561A6"/>
    <w:rsid w:val="005568C8"/>
    <w:rsid w:val="00561110"/>
    <w:rsid w:val="0057189A"/>
    <w:rsid w:val="00573A8D"/>
    <w:rsid w:val="00580227"/>
    <w:rsid w:val="005869D4"/>
    <w:rsid w:val="005977A4"/>
    <w:rsid w:val="005A2C49"/>
    <w:rsid w:val="005A3F13"/>
    <w:rsid w:val="005B2418"/>
    <w:rsid w:val="005B2FB6"/>
    <w:rsid w:val="005B312B"/>
    <w:rsid w:val="005B4828"/>
    <w:rsid w:val="005C5249"/>
    <w:rsid w:val="00602E2B"/>
    <w:rsid w:val="00615875"/>
    <w:rsid w:val="00621E7E"/>
    <w:rsid w:val="00634BE8"/>
    <w:rsid w:val="006414EF"/>
    <w:rsid w:val="00643B13"/>
    <w:rsid w:val="00656245"/>
    <w:rsid w:val="00661EE1"/>
    <w:rsid w:val="006703CB"/>
    <w:rsid w:val="0067427D"/>
    <w:rsid w:val="00681C03"/>
    <w:rsid w:val="00684039"/>
    <w:rsid w:val="006A4A21"/>
    <w:rsid w:val="006A5B8C"/>
    <w:rsid w:val="006B5251"/>
    <w:rsid w:val="006B7AD0"/>
    <w:rsid w:val="006C007D"/>
    <w:rsid w:val="006C11A0"/>
    <w:rsid w:val="006C1481"/>
    <w:rsid w:val="006C2903"/>
    <w:rsid w:val="006C2937"/>
    <w:rsid w:val="006F3807"/>
    <w:rsid w:val="00702C88"/>
    <w:rsid w:val="00711C37"/>
    <w:rsid w:val="0071405F"/>
    <w:rsid w:val="0072503F"/>
    <w:rsid w:val="00735B9C"/>
    <w:rsid w:val="00754541"/>
    <w:rsid w:val="00754C88"/>
    <w:rsid w:val="00755EA0"/>
    <w:rsid w:val="00771BBF"/>
    <w:rsid w:val="00782783"/>
    <w:rsid w:val="0079114F"/>
    <w:rsid w:val="0079415C"/>
    <w:rsid w:val="007B1847"/>
    <w:rsid w:val="007C327D"/>
    <w:rsid w:val="007E0F7F"/>
    <w:rsid w:val="007E348E"/>
    <w:rsid w:val="007E4AB5"/>
    <w:rsid w:val="007F1F37"/>
    <w:rsid w:val="008055CE"/>
    <w:rsid w:val="00824A76"/>
    <w:rsid w:val="00826273"/>
    <w:rsid w:val="00834CDA"/>
    <w:rsid w:val="00843A0D"/>
    <w:rsid w:val="00846BD8"/>
    <w:rsid w:val="008525E4"/>
    <w:rsid w:val="00853E85"/>
    <w:rsid w:val="008549B0"/>
    <w:rsid w:val="0085677B"/>
    <w:rsid w:val="008643B6"/>
    <w:rsid w:val="00876DF3"/>
    <w:rsid w:val="008829A7"/>
    <w:rsid w:val="00896A66"/>
    <w:rsid w:val="008B0D81"/>
    <w:rsid w:val="008B7F6B"/>
    <w:rsid w:val="008C34CD"/>
    <w:rsid w:val="008C4E76"/>
    <w:rsid w:val="008D3606"/>
    <w:rsid w:val="008D404B"/>
    <w:rsid w:val="008E084E"/>
    <w:rsid w:val="008F4A41"/>
    <w:rsid w:val="00920B80"/>
    <w:rsid w:val="00933FD9"/>
    <w:rsid w:val="0093603B"/>
    <w:rsid w:val="00941E93"/>
    <w:rsid w:val="0095113D"/>
    <w:rsid w:val="00952ECC"/>
    <w:rsid w:val="009727A1"/>
    <w:rsid w:val="00980B94"/>
    <w:rsid w:val="009919C9"/>
    <w:rsid w:val="0099260D"/>
    <w:rsid w:val="00994E42"/>
    <w:rsid w:val="009957B5"/>
    <w:rsid w:val="00996976"/>
    <w:rsid w:val="009A1543"/>
    <w:rsid w:val="009A1A59"/>
    <w:rsid w:val="009A7621"/>
    <w:rsid w:val="009B5344"/>
    <w:rsid w:val="009C0588"/>
    <w:rsid w:val="009C0BE3"/>
    <w:rsid w:val="009C0FEF"/>
    <w:rsid w:val="009C7207"/>
    <w:rsid w:val="009D161C"/>
    <w:rsid w:val="009D217A"/>
    <w:rsid w:val="009D2978"/>
    <w:rsid w:val="009D4E3E"/>
    <w:rsid w:val="009D6192"/>
    <w:rsid w:val="009F1893"/>
    <w:rsid w:val="00A009EF"/>
    <w:rsid w:val="00A030FB"/>
    <w:rsid w:val="00A061E9"/>
    <w:rsid w:val="00A06966"/>
    <w:rsid w:val="00A16B6F"/>
    <w:rsid w:val="00A257A4"/>
    <w:rsid w:val="00A50F09"/>
    <w:rsid w:val="00A601D5"/>
    <w:rsid w:val="00A61D0E"/>
    <w:rsid w:val="00A70B5C"/>
    <w:rsid w:val="00A74FD9"/>
    <w:rsid w:val="00A75849"/>
    <w:rsid w:val="00A94626"/>
    <w:rsid w:val="00A97460"/>
    <w:rsid w:val="00A97965"/>
    <w:rsid w:val="00AA0982"/>
    <w:rsid w:val="00AA20DD"/>
    <w:rsid w:val="00AB0ECB"/>
    <w:rsid w:val="00AB4442"/>
    <w:rsid w:val="00AC127A"/>
    <w:rsid w:val="00AC7286"/>
    <w:rsid w:val="00AD18E8"/>
    <w:rsid w:val="00AE0F56"/>
    <w:rsid w:val="00AE20B4"/>
    <w:rsid w:val="00AE5D22"/>
    <w:rsid w:val="00B01DF9"/>
    <w:rsid w:val="00B059E8"/>
    <w:rsid w:val="00B12361"/>
    <w:rsid w:val="00B15FDE"/>
    <w:rsid w:val="00B3429D"/>
    <w:rsid w:val="00B64580"/>
    <w:rsid w:val="00B870E2"/>
    <w:rsid w:val="00B87838"/>
    <w:rsid w:val="00B918B0"/>
    <w:rsid w:val="00B94ABD"/>
    <w:rsid w:val="00BA03E3"/>
    <w:rsid w:val="00BA3456"/>
    <w:rsid w:val="00BA401C"/>
    <w:rsid w:val="00BC28B4"/>
    <w:rsid w:val="00BC7666"/>
    <w:rsid w:val="00BD42A5"/>
    <w:rsid w:val="00BD62B6"/>
    <w:rsid w:val="00BE4FB7"/>
    <w:rsid w:val="00BF0638"/>
    <w:rsid w:val="00BF33A9"/>
    <w:rsid w:val="00C02DBF"/>
    <w:rsid w:val="00C077C0"/>
    <w:rsid w:val="00C15197"/>
    <w:rsid w:val="00C207F7"/>
    <w:rsid w:val="00C2653A"/>
    <w:rsid w:val="00C266A6"/>
    <w:rsid w:val="00C27855"/>
    <w:rsid w:val="00C30D9A"/>
    <w:rsid w:val="00C3705D"/>
    <w:rsid w:val="00C37273"/>
    <w:rsid w:val="00C43F25"/>
    <w:rsid w:val="00C4714C"/>
    <w:rsid w:val="00C52889"/>
    <w:rsid w:val="00C5453E"/>
    <w:rsid w:val="00C64831"/>
    <w:rsid w:val="00C705DE"/>
    <w:rsid w:val="00C87BD1"/>
    <w:rsid w:val="00C93837"/>
    <w:rsid w:val="00C962E5"/>
    <w:rsid w:val="00C96B4A"/>
    <w:rsid w:val="00CA1171"/>
    <w:rsid w:val="00CA4833"/>
    <w:rsid w:val="00CB6BD8"/>
    <w:rsid w:val="00CC1103"/>
    <w:rsid w:val="00CC3C6B"/>
    <w:rsid w:val="00CC5C39"/>
    <w:rsid w:val="00CD117C"/>
    <w:rsid w:val="00CD3EDB"/>
    <w:rsid w:val="00CD5B6B"/>
    <w:rsid w:val="00CD61EA"/>
    <w:rsid w:val="00CE358D"/>
    <w:rsid w:val="00CE50EE"/>
    <w:rsid w:val="00CE7674"/>
    <w:rsid w:val="00CF6359"/>
    <w:rsid w:val="00D06F97"/>
    <w:rsid w:val="00D136BF"/>
    <w:rsid w:val="00D220B5"/>
    <w:rsid w:val="00D25A4B"/>
    <w:rsid w:val="00D300DF"/>
    <w:rsid w:val="00D314D5"/>
    <w:rsid w:val="00D32D5E"/>
    <w:rsid w:val="00D461EA"/>
    <w:rsid w:val="00D47CF4"/>
    <w:rsid w:val="00D53AED"/>
    <w:rsid w:val="00D57431"/>
    <w:rsid w:val="00D8087B"/>
    <w:rsid w:val="00D82CB7"/>
    <w:rsid w:val="00DA7943"/>
    <w:rsid w:val="00DB0D66"/>
    <w:rsid w:val="00E017C2"/>
    <w:rsid w:val="00E056C2"/>
    <w:rsid w:val="00E133AD"/>
    <w:rsid w:val="00E17BD3"/>
    <w:rsid w:val="00E22B8B"/>
    <w:rsid w:val="00E25E9E"/>
    <w:rsid w:val="00E32985"/>
    <w:rsid w:val="00E3645A"/>
    <w:rsid w:val="00E412C6"/>
    <w:rsid w:val="00E527DA"/>
    <w:rsid w:val="00E74A25"/>
    <w:rsid w:val="00E77256"/>
    <w:rsid w:val="00E96FC4"/>
    <w:rsid w:val="00EA2BCB"/>
    <w:rsid w:val="00EA52AD"/>
    <w:rsid w:val="00EB1E5C"/>
    <w:rsid w:val="00EB4C33"/>
    <w:rsid w:val="00EC3F9D"/>
    <w:rsid w:val="00EC5BF6"/>
    <w:rsid w:val="00ED1E8E"/>
    <w:rsid w:val="00ED7DD6"/>
    <w:rsid w:val="00F00E2D"/>
    <w:rsid w:val="00F01F6C"/>
    <w:rsid w:val="00F03EAC"/>
    <w:rsid w:val="00F04DB5"/>
    <w:rsid w:val="00F15029"/>
    <w:rsid w:val="00F15C04"/>
    <w:rsid w:val="00F226AA"/>
    <w:rsid w:val="00F2663D"/>
    <w:rsid w:val="00F272AE"/>
    <w:rsid w:val="00F32436"/>
    <w:rsid w:val="00F32523"/>
    <w:rsid w:val="00F32C0E"/>
    <w:rsid w:val="00F4765E"/>
    <w:rsid w:val="00F645DF"/>
    <w:rsid w:val="00F65FB7"/>
    <w:rsid w:val="00F67E26"/>
    <w:rsid w:val="00F71E4C"/>
    <w:rsid w:val="00F810E7"/>
    <w:rsid w:val="00F87B1C"/>
    <w:rsid w:val="00F92E58"/>
    <w:rsid w:val="00FA0927"/>
    <w:rsid w:val="00FA101F"/>
    <w:rsid w:val="00FB4E88"/>
    <w:rsid w:val="00FC39D3"/>
    <w:rsid w:val="00FC4FA1"/>
    <w:rsid w:val="00FD43EB"/>
    <w:rsid w:val="00FD765C"/>
    <w:rsid w:val="00FE2ABB"/>
    <w:rsid w:val="00FE4AB7"/>
    <w:rsid w:val="00FE62EB"/>
    <w:rsid w:val="00FE72B9"/>
    <w:rsid w:val="00FF3D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335E1"/>
  <w15:chartTrackingRefBased/>
  <w15:docId w15:val="{EC8F3E1F-9E1B-4523-AC36-94A8B5773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qFormat/>
    <w:rsid w:val="0093603B"/>
    <w:pPr>
      <w:ind w:left="720"/>
      <w:contextualSpacing/>
    </w:pPr>
  </w:style>
  <w:style w:type="character" w:styleId="Marquedecommentaire">
    <w:name w:val="annotation reference"/>
    <w:basedOn w:val="Policepardfaut"/>
    <w:uiPriority w:val="99"/>
    <w:semiHidden/>
    <w:unhideWhenUsed/>
    <w:rsid w:val="00AE0F56"/>
    <w:rPr>
      <w:sz w:val="16"/>
      <w:szCs w:val="16"/>
    </w:rPr>
  </w:style>
  <w:style w:type="paragraph" w:styleId="Commentaire">
    <w:name w:val="annotation text"/>
    <w:basedOn w:val="Normal"/>
    <w:link w:val="CommentaireCar"/>
    <w:uiPriority w:val="99"/>
    <w:semiHidden/>
    <w:unhideWhenUsed/>
    <w:rsid w:val="00AE0F56"/>
    <w:pPr>
      <w:spacing w:line="240" w:lineRule="auto"/>
    </w:pPr>
    <w:rPr>
      <w:sz w:val="20"/>
      <w:szCs w:val="20"/>
    </w:rPr>
  </w:style>
  <w:style w:type="character" w:customStyle="1" w:styleId="CommentaireCar">
    <w:name w:val="Commentaire Car"/>
    <w:basedOn w:val="Policepardfaut"/>
    <w:link w:val="Commentaire"/>
    <w:uiPriority w:val="99"/>
    <w:semiHidden/>
    <w:rsid w:val="00AE0F56"/>
    <w:rPr>
      <w:sz w:val="20"/>
      <w:szCs w:val="20"/>
    </w:rPr>
  </w:style>
  <w:style w:type="paragraph" w:styleId="Objetducommentaire">
    <w:name w:val="annotation subject"/>
    <w:basedOn w:val="Commentaire"/>
    <w:next w:val="Commentaire"/>
    <w:link w:val="ObjetducommentaireCar"/>
    <w:uiPriority w:val="99"/>
    <w:semiHidden/>
    <w:unhideWhenUsed/>
    <w:rsid w:val="00AE0F56"/>
    <w:rPr>
      <w:b/>
      <w:bCs/>
    </w:rPr>
  </w:style>
  <w:style w:type="character" w:customStyle="1" w:styleId="ObjetducommentaireCar">
    <w:name w:val="Objet du commentaire Car"/>
    <w:basedOn w:val="CommentaireCar"/>
    <w:link w:val="Objetducommentaire"/>
    <w:uiPriority w:val="99"/>
    <w:semiHidden/>
    <w:rsid w:val="00AE0F56"/>
    <w:rPr>
      <w:b/>
      <w:bCs/>
      <w:sz w:val="20"/>
      <w:szCs w:val="20"/>
    </w:rPr>
  </w:style>
  <w:style w:type="paragraph" w:styleId="Textedebulles">
    <w:name w:val="Balloon Text"/>
    <w:basedOn w:val="Normal"/>
    <w:link w:val="TextedebullesCar"/>
    <w:uiPriority w:val="99"/>
    <w:semiHidden/>
    <w:unhideWhenUsed/>
    <w:rsid w:val="00AE0F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E0F56"/>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qFormat/>
    <w:locked/>
    <w:rsid w:val="00F32C0E"/>
  </w:style>
  <w:style w:type="table" w:styleId="Grilledutableau">
    <w:name w:val="Table Grid"/>
    <w:basedOn w:val="TableauNormal"/>
    <w:uiPriority w:val="39"/>
    <w:rsid w:val="000C05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6C1481"/>
    <w:pPr>
      <w:suppressAutoHyphens/>
      <w:autoSpaceDN w:val="0"/>
      <w:spacing w:before="100" w:after="100" w:line="240" w:lineRule="auto"/>
      <w:textAlignment w:val="baseline"/>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25E9E"/>
    <w:rPr>
      <w:color w:val="0563C1" w:themeColor="hyperlink"/>
      <w:u w:val="single"/>
    </w:rPr>
  </w:style>
  <w:style w:type="character" w:styleId="Mentionnonrsolue">
    <w:name w:val="Unresolved Mention"/>
    <w:basedOn w:val="Policepardfaut"/>
    <w:uiPriority w:val="99"/>
    <w:semiHidden/>
    <w:unhideWhenUsed/>
    <w:rsid w:val="00E25E9E"/>
    <w:rPr>
      <w:color w:val="605E5C"/>
      <w:shd w:val="clear" w:color="auto" w:fill="E1DFDD"/>
    </w:rPr>
  </w:style>
  <w:style w:type="paragraph" w:styleId="En-tte">
    <w:name w:val="header"/>
    <w:basedOn w:val="Normal"/>
    <w:link w:val="En-tteCar"/>
    <w:uiPriority w:val="99"/>
    <w:unhideWhenUsed/>
    <w:rsid w:val="001212C9"/>
    <w:pPr>
      <w:tabs>
        <w:tab w:val="center" w:pos="4536"/>
        <w:tab w:val="right" w:pos="9072"/>
      </w:tabs>
      <w:spacing w:after="0" w:line="240" w:lineRule="auto"/>
    </w:pPr>
  </w:style>
  <w:style w:type="character" w:customStyle="1" w:styleId="En-tteCar">
    <w:name w:val="En-tête Car"/>
    <w:basedOn w:val="Policepardfaut"/>
    <w:link w:val="En-tte"/>
    <w:uiPriority w:val="99"/>
    <w:rsid w:val="001212C9"/>
  </w:style>
  <w:style w:type="paragraph" w:styleId="Pieddepage">
    <w:name w:val="footer"/>
    <w:basedOn w:val="Normal"/>
    <w:link w:val="PieddepageCar"/>
    <w:uiPriority w:val="99"/>
    <w:unhideWhenUsed/>
    <w:rsid w:val="001212C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12C9"/>
  </w:style>
  <w:style w:type="paragraph" w:styleId="Notedebasdepage">
    <w:name w:val="footnote text"/>
    <w:basedOn w:val="Normal"/>
    <w:link w:val="NotedebasdepageCar"/>
    <w:uiPriority w:val="99"/>
    <w:semiHidden/>
    <w:unhideWhenUsed/>
    <w:rsid w:val="00826273"/>
    <w:pPr>
      <w:spacing w:after="0" w:line="240" w:lineRule="auto"/>
      <w:jc w:val="both"/>
    </w:pPr>
    <w:rPr>
      <w:rFonts w:ascii="Arial" w:hAnsi="Arial"/>
      <w:sz w:val="20"/>
      <w:szCs w:val="20"/>
    </w:rPr>
  </w:style>
  <w:style w:type="character" w:customStyle="1" w:styleId="NotedebasdepageCar">
    <w:name w:val="Note de bas de page Car"/>
    <w:basedOn w:val="Policepardfaut"/>
    <w:link w:val="Notedebasdepage"/>
    <w:uiPriority w:val="99"/>
    <w:semiHidden/>
    <w:rsid w:val="00826273"/>
    <w:rPr>
      <w:rFonts w:ascii="Arial" w:hAnsi="Arial"/>
      <w:sz w:val="20"/>
      <w:szCs w:val="20"/>
    </w:rPr>
  </w:style>
  <w:style w:type="character" w:styleId="Appelnotedebasdep">
    <w:name w:val="footnote reference"/>
    <w:uiPriority w:val="99"/>
    <w:semiHidden/>
    <w:unhideWhenUsed/>
    <w:rsid w:val="00826273"/>
    <w:rPr>
      <w:vertAlign w:val="superscript"/>
    </w:rPr>
  </w:style>
  <w:style w:type="character" w:customStyle="1" w:styleId="Marquedecommentaire6">
    <w:name w:val="Marque de commentaire6"/>
    <w:rsid w:val="00AB4442"/>
    <w:rPr>
      <w:sz w:val="16"/>
      <w:szCs w:val="16"/>
    </w:rPr>
  </w:style>
  <w:style w:type="paragraph" w:customStyle="1" w:styleId="Textbody">
    <w:name w:val="Text body"/>
    <w:basedOn w:val="Normal"/>
    <w:rsid w:val="00684039"/>
    <w:pPr>
      <w:suppressAutoHyphens/>
      <w:autoSpaceDN w:val="0"/>
      <w:spacing w:after="0" w:line="240" w:lineRule="auto"/>
      <w:jc w:val="both"/>
      <w:textAlignment w:val="baseline"/>
    </w:pPr>
    <w:rPr>
      <w:rFonts w:ascii="Arial" w:eastAsia="Times New Roman" w:hAnsi="Arial" w:cs="Arial"/>
      <w:kern w:val="3"/>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68179">
      <w:bodyDiv w:val="1"/>
      <w:marLeft w:val="0"/>
      <w:marRight w:val="0"/>
      <w:marTop w:val="0"/>
      <w:marBottom w:val="0"/>
      <w:divBdr>
        <w:top w:val="none" w:sz="0" w:space="0" w:color="auto"/>
        <w:left w:val="none" w:sz="0" w:space="0" w:color="auto"/>
        <w:bottom w:val="none" w:sz="0" w:space="0" w:color="auto"/>
        <w:right w:val="none" w:sz="0" w:space="0" w:color="auto"/>
      </w:divBdr>
    </w:div>
    <w:div w:id="376398957">
      <w:bodyDiv w:val="1"/>
      <w:marLeft w:val="0"/>
      <w:marRight w:val="0"/>
      <w:marTop w:val="0"/>
      <w:marBottom w:val="0"/>
      <w:divBdr>
        <w:top w:val="none" w:sz="0" w:space="0" w:color="auto"/>
        <w:left w:val="none" w:sz="0" w:space="0" w:color="auto"/>
        <w:bottom w:val="none" w:sz="0" w:space="0" w:color="auto"/>
        <w:right w:val="none" w:sz="0" w:space="0" w:color="auto"/>
      </w:divBdr>
    </w:div>
    <w:div w:id="448206667">
      <w:bodyDiv w:val="1"/>
      <w:marLeft w:val="0"/>
      <w:marRight w:val="0"/>
      <w:marTop w:val="0"/>
      <w:marBottom w:val="0"/>
      <w:divBdr>
        <w:top w:val="none" w:sz="0" w:space="0" w:color="auto"/>
        <w:left w:val="none" w:sz="0" w:space="0" w:color="auto"/>
        <w:bottom w:val="none" w:sz="0" w:space="0" w:color="auto"/>
        <w:right w:val="none" w:sz="0" w:space="0" w:color="auto"/>
      </w:divBdr>
    </w:div>
    <w:div w:id="1194341118">
      <w:bodyDiv w:val="1"/>
      <w:marLeft w:val="0"/>
      <w:marRight w:val="0"/>
      <w:marTop w:val="0"/>
      <w:marBottom w:val="0"/>
      <w:divBdr>
        <w:top w:val="none" w:sz="0" w:space="0" w:color="auto"/>
        <w:left w:val="none" w:sz="0" w:space="0" w:color="auto"/>
        <w:bottom w:val="none" w:sz="0" w:space="0" w:color="auto"/>
        <w:right w:val="none" w:sz="0" w:space="0" w:color="auto"/>
      </w:divBdr>
    </w:div>
    <w:div w:id="148920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nergie-europe.fr/e_synergie/portail/SUD"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e.maregionsud.fr/proje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eampa@maregionsu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D576C425F7F74D8F9FA31FADACEBDE" ma:contentTypeVersion="1" ma:contentTypeDescription="Crée un document." ma:contentTypeScope="" ma:versionID="99f5b85a3b5af30163b2f1f016b6d612">
  <xsd:schema xmlns:xsd="http://www.w3.org/2001/XMLSchema" xmlns:xs="http://www.w3.org/2001/XMLSchema" xmlns:p="http://schemas.microsoft.com/office/2006/metadata/properties" xmlns:ns2="eeaa52f5-645c-48a3-b727-da2fba6ab35d" targetNamespace="http://schemas.microsoft.com/office/2006/metadata/properties" ma:root="true" ma:fieldsID="87438c6f82935b0308ad975f3a8f1545" ns2:_="">
    <xsd:import namespace="eeaa52f5-645c-48a3-b727-da2fba6ab35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aa52f5-645c-48a3-b727-da2fba6ab35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C9B565-FA9E-4A4D-B336-55FF5946BB8F}">
  <ds:schemaRefs>
    <ds:schemaRef ds:uri="http://schemas.openxmlformats.org/officeDocument/2006/bibliography"/>
  </ds:schemaRefs>
</ds:datastoreItem>
</file>

<file path=customXml/itemProps2.xml><?xml version="1.0" encoding="utf-8"?>
<ds:datastoreItem xmlns:ds="http://schemas.openxmlformats.org/officeDocument/2006/customXml" ds:itemID="{BEF4B0EC-1BE0-4C07-951D-8C9616EBE5AF}">
  <ds:schemaRefs>
    <ds:schemaRef ds:uri="http://schemas.microsoft.com/sharepoint/v3/contenttype/forms"/>
  </ds:schemaRefs>
</ds:datastoreItem>
</file>

<file path=customXml/itemProps3.xml><?xml version="1.0" encoding="utf-8"?>
<ds:datastoreItem xmlns:ds="http://schemas.openxmlformats.org/officeDocument/2006/customXml" ds:itemID="{8D7514CF-BE03-4136-9CD1-7C30F0606F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aa52f5-645c-48a3-b727-da2fba6ab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20DF63-E7E5-40FF-9B5F-08E253BFCB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2603</Words>
  <Characters>14318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Région Normandie</Company>
  <LinksUpToDate>false</LinksUpToDate>
  <CharactersWithSpaces>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GANZITTI Karine</dc:creator>
  <cp:keywords/>
  <dc:description/>
  <cp:lastModifiedBy>ESCAFFRE Laurent</cp:lastModifiedBy>
  <cp:revision>3</cp:revision>
  <cp:lastPrinted>2023-05-09T08:23:00Z</cp:lastPrinted>
  <dcterms:created xsi:type="dcterms:W3CDTF">2023-06-23T12:52:00Z</dcterms:created>
  <dcterms:modified xsi:type="dcterms:W3CDTF">2023-06-23T14:34:00Z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0x01010017D576C425F7F74D8F9FA31FADACEBDE</vt:lpwstr>
  </property>
</Properties>
</file>