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287B52AE" w14:textId="363BF102" w:rsidR="00BD42A5" w:rsidRDefault="009D6192" w:rsidP="00BD42A5">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 xml:space="preserve">APPEL A PROJETS </w:t>
      </w:r>
      <w:r w:rsidR="00BD42A5">
        <w:rPr>
          <w:b/>
          <w:sz w:val="40"/>
          <w:szCs w:val="40"/>
        </w:rPr>
        <w:t>Fonds Européen pour les Affaires Maritimes, la Pêche et l’Aquaculture</w:t>
      </w:r>
    </w:p>
    <w:p w14:paraId="19FD2172" w14:textId="6984D8BA" w:rsidR="009D6192" w:rsidRPr="009D6192" w:rsidRDefault="000778C1" w:rsidP="00BD42A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Priorité 1 : </w:t>
      </w:r>
      <w:bookmarkStart w:id="1" w:name="_Hlk134517321"/>
      <w:r>
        <w:rPr>
          <w:b/>
          <w:sz w:val="28"/>
          <w:szCs w:val="28"/>
        </w:rPr>
        <w:t>Favoriser une pêche durable et la restauration et la conservation des ressources biologiques aquatiques</w:t>
      </w:r>
      <w:bookmarkEnd w:id="1"/>
    </w:p>
    <w:p w14:paraId="368AB1BB" w14:textId="64F1D20F"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w:t>
      </w:r>
      <w:r w:rsidR="00E3645A">
        <w:rPr>
          <w:b/>
          <w:sz w:val="28"/>
          <w:szCs w:val="28"/>
        </w:rPr>
        <w:t xml:space="preserve">Spécifique </w:t>
      </w:r>
      <w:r>
        <w:rPr>
          <w:b/>
          <w:sz w:val="28"/>
          <w:szCs w:val="28"/>
        </w:rPr>
        <w:t>1.</w:t>
      </w:r>
      <w:r w:rsidR="008E084E">
        <w:rPr>
          <w:b/>
          <w:sz w:val="28"/>
          <w:szCs w:val="28"/>
        </w:rPr>
        <w:t>1.</w:t>
      </w:r>
      <w:r w:rsidR="0027282C">
        <w:rPr>
          <w:b/>
          <w:sz w:val="28"/>
          <w:szCs w:val="28"/>
        </w:rPr>
        <w:t>1</w:t>
      </w:r>
      <w:r w:rsidR="008E084E">
        <w:rPr>
          <w:b/>
          <w:sz w:val="28"/>
          <w:szCs w:val="28"/>
        </w:rPr>
        <w:t xml:space="preserve"> </w:t>
      </w:r>
      <w:r>
        <w:rPr>
          <w:b/>
          <w:sz w:val="28"/>
          <w:szCs w:val="28"/>
        </w:rPr>
        <w:t xml:space="preserve">: </w:t>
      </w:r>
      <w:r w:rsidR="008E084E">
        <w:rPr>
          <w:b/>
          <w:sz w:val="28"/>
          <w:szCs w:val="28"/>
        </w:rPr>
        <w:t>« </w:t>
      </w:r>
      <w:r w:rsidR="0027282C" w:rsidRPr="0027282C">
        <w:rPr>
          <w:b/>
          <w:sz w:val="28"/>
          <w:szCs w:val="28"/>
        </w:rPr>
        <w:t>Renforcer les activités de pêche durables sur le plan économique, social et environnemental</w:t>
      </w:r>
      <w:r w:rsidR="0027282C">
        <w:rPr>
          <w:b/>
          <w:sz w:val="28"/>
          <w:szCs w:val="28"/>
        </w:rPr>
        <w:t xml:space="preserve"> </w:t>
      </w:r>
      <w:r w:rsidR="008E084E">
        <w:rPr>
          <w:b/>
          <w:bCs/>
          <w:sz w:val="28"/>
          <w:szCs w:val="28"/>
        </w:rPr>
        <w:t>» </w:t>
      </w:r>
    </w:p>
    <w:p w14:paraId="0B544628" w14:textId="763917FB"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TA </w:t>
      </w:r>
      <w:r w:rsidR="008E084E">
        <w:rPr>
          <w:b/>
          <w:sz w:val="28"/>
          <w:szCs w:val="28"/>
        </w:rPr>
        <w:t>1.1.1</w:t>
      </w:r>
      <w:r w:rsidR="0027282C">
        <w:rPr>
          <w:b/>
          <w:sz w:val="28"/>
          <w:szCs w:val="28"/>
        </w:rPr>
        <w:t>.4R</w:t>
      </w:r>
      <w:r w:rsidR="008E084E">
        <w:rPr>
          <w:b/>
          <w:sz w:val="28"/>
          <w:szCs w:val="28"/>
        </w:rPr>
        <w:t xml:space="preserve"> </w:t>
      </w:r>
      <w:r>
        <w:rPr>
          <w:b/>
          <w:sz w:val="28"/>
          <w:szCs w:val="28"/>
        </w:rPr>
        <w:t xml:space="preserve">: </w:t>
      </w:r>
      <w:r w:rsidR="008E084E">
        <w:rPr>
          <w:b/>
          <w:sz w:val="28"/>
          <w:szCs w:val="28"/>
        </w:rPr>
        <w:t>« </w:t>
      </w:r>
      <w:r w:rsidR="0027282C" w:rsidRPr="0027282C">
        <w:rPr>
          <w:b/>
          <w:sz w:val="28"/>
          <w:szCs w:val="28"/>
        </w:rPr>
        <w:t xml:space="preserve">Recherche et innovation pêche d'ampleur </w:t>
      </w:r>
      <w:r w:rsidR="00133196">
        <w:rPr>
          <w:b/>
          <w:sz w:val="28"/>
          <w:szCs w:val="28"/>
        </w:rPr>
        <w:t>r</w:t>
      </w:r>
      <w:r w:rsidR="0027282C" w:rsidRPr="0027282C">
        <w:rPr>
          <w:b/>
          <w:sz w:val="28"/>
          <w:szCs w:val="28"/>
        </w:rPr>
        <w:t>égional</w:t>
      </w:r>
      <w:r w:rsidR="00133196">
        <w:rPr>
          <w:b/>
          <w:sz w:val="28"/>
          <w:szCs w:val="28"/>
        </w:rPr>
        <w:t>e</w:t>
      </w:r>
      <w:r w:rsidR="0027282C">
        <w:rPr>
          <w:b/>
          <w:sz w:val="28"/>
          <w:szCs w:val="28"/>
        </w:rPr>
        <w:t xml:space="preserve"> </w:t>
      </w:r>
      <w:r w:rsidR="008E084E">
        <w:rPr>
          <w:b/>
          <w:sz w:val="28"/>
          <w:szCs w:val="28"/>
        </w:rPr>
        <w:t xml:space="preserve">» </w:t>
      </w:r>
    </w:p>
    <w:p w14:paraId="565D3A60" w14:textId="25490516"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3127FDAB" w14:textId="5AEC3A71" w:rsidR="0067427D" w:rsidRPr="0067427D" w:rsidRDefault="0067427D" w:rsidP="0067427D">
      <w:pPr>
        <w:jc w:val="center"/>
        <w:rPr>
          <w:b/>
          <w:sz w:val="24"/>
          <w:szCs w:val="24"/>
        </w:rPr>
      </w:pPr>
      <w:r w:rsidRPr="0067427D">
        <w:rPr>
          <w:b/>
          <w:sz w:val="24"/>
          <w:szCs w:val="24"/>
        </w:rPr>
        <w:t>Les dates limites de dépôt sont consultables sur le site</w:t>
      </w:r>
      <w:r w:rsidR="00244C64">
        <w:rPr>
          <w:b/>
          <w:sz w:val="24"/>
          <w:szCs w:val="24"/>
        </w:rPr>
        <w:t> :</w:t>
      </w:r>
      <w:r w:rsidRPr="0067427D">
        <w:rPr>
          <w:b/>
          <w:sz w:val="24"/>
          <w:szCs w:val="24"/>
        </w:rPr>
        <w:t xml:space="preserve"> </w:t>
      </w:r>
      <w:bookmarkStart w:id="2" w:name="_Hlk135735589"/>
      <w:r w:rsidR="00244C64">
        <w:rPr>
          <w:b/>
          <w:sz w:val="24"/>
          <w:szCs w:val="24"/>
        </w:rPr>
        <w:fldChar w:fldCharType="begin"/>
      </w:r>
      <w:r w:rsidR="00244C64">
        <w:rPr>
          <w:b/>
          <w:sz w:val="24"/>
          <w:szCs w:val="24"/>
        </w:rPr>
        <w:instrText xml:space="preserve"> HYPERLINK "https://europe.maregionsud.fr/projets" </w:instrText>
      </w:r>
      <w:r w:rsidR="00244C64">
        <w:rPr>
          <w:b/>
          <w:sz w:val="24"/>
          <w:szCs w:val="24"/>
        </w:rPr>
      </w:r>
      <w:r w:rsidR="00244C64">
        <w:rPr>
          <w:b/>
          <w:sz w:val="24"/>
          <w:szCs w:val="24"/>
        </w:rPr>
        <w:fldChar w:fldCharType="separate"/>
      </w:r>
      <w:r w:rsidR="00244C64" w:rsidRPr="00804B85">
        <w:rPr>
          <w:rStyle w:val="Lienhypertexte"/>
          <w:b/>
          <w:sz w:val="24"/>
          <w:szCs w:val="24"/>
        </w:rPr>
        <w:t>https://europe.maregionsud.fr/projets</w:t>
      </w:r>
      <w:r w:rsidR="00244C64">
        <w:rPr>
          <w:b/>
          <w:sz w:val="24"/>
          <w:szCs w:val="24"/>
        </w:rPr>
        <w:fldChar w:fldCharType="end"/>
      </w:r>
      <w:bookmarkEnd w:id="2"/>
      <w:r w:rsidR="00D674BB">
        <w:fldChar w:fldCharType="begin"/>
      </w:r>
      <w:r w:rsidR="00D674BB">
        <w:instrText xml:space="preserve"> HYPERLINK "https://europe.maregionsud.fr/aides-et-appels-a-projets/appels-a-projets/" </w:instrText>
      </w:r>
      <w:r w:rsidR="00000000">
        <w:fldChar w:fldCharType="separate"/>
      </w:r>
      <w:r w:rsidR="00D674BB">
        <w:rPr>
          <w:rStyle w:val="Lienhypertexte"/>
          <w:b/>
          <w:sz w:val="24"/>
          <w:szCs w:val="24"/>
        </w:rPr>
        <w:fldChar w:fldCharType="end"/>
      </w:r>
    </w:p>
    <w:p w14:paraId="5D9451D3" w14:textId="6E2589E5" w:rsidR="0067427D" w:rsidRPr="0067427D" w:rsidRDefault="0067427D" w:rsidP="0067427D">
      <w:pPr>
        <w:jc w:val="center"/>
        <w:rPr>
          <w:b/>
          <w:sz w:val="28"/>
          <w:szCs w:val="28"/>
        </w:rPr>
      </w:pPr>
      <w:r>
        <w:rPr>
          <w:b/>
          <w:sz w:val="28"/>
          <w:szCs w:val="28"/>
        </w:rPr>
        <w:t xml:space="preserve"> </w:t>
      </w:r>
    </w:p>
    <w:p w14:paraId="7F1DE553" w14:textId="748C4C16"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1083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7E51F5" w:rsidRPr="00475D56" w14:paraId="68CE9078" w14:textId="77777777" w:rsidTr="00471AA8">
        <w:trPr>
          <w:trHeight w:val="120"/>
        </w:trPr>
        <w:tc>
          <w:tcPr>
            <w:tcW w:w="3227" w:type="dxa"/>
            <w:tcBorders>
              <w:top w:val="none" w:sz="6" w:space="0" w:color="auto"/>
              <w:bottom w:val="none" w:sz="6" w:space="0" w:color="auto"/>
              <w:right w:val="none" w:sz="6" w:space="0" w:color="auto"/>
            </w:tcBorders>
          </w:tcPr>
          <w:p w14:paraId="7F967F70" w14:textId="77777777" w:rsidR="007E51F5" w:rsidRPr="00475D56" w:rsidRDefault="007E51F5" w:rsidP="00471AA8">
            <w:pPr>
              <w:rPr>
                <w:bCs/>
                <w:sz w:val="20"/>
                <w:szCs w:val="20"/>
              </w:rPr>
            </w:pPr>
            <w:bookmarkStart w:id="3" w:name="_Hlk156570016"/>
            <w:r w:rsidRPr="00475D56">
              <w:rPr>
                <w:bCs/>
                <w:sz w:val="20"/>
                <w:szCs w:val="20"/>
              </w:rPr>
              <w:t>Territoire</w:t>
            </w:r>
            <w:r>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4BA3DFD3" w14:textId="77777777" w:rsidR="007E51F5" w:rsidRPr="00475D56" w:rsidRDefault="007E51F5" w:rsidP="00471AA8">
            <w:pPr>
              <w:rPr>
                <w:bCs/>
                <w:sz w:val="20"/>
                <w:szCs w:val="20"/>
              </w:rPr>
            </w:pPr>
            <w:r w:rsidRPr="004B7E99">
              <w:rPr>
                <w:bCs/>
                <w:i/>
                <w:iCs/>
                <w:sz w:val="20"/>
                <w:szCs w:val="20"/>
              </w:rPr>
              <w:t xml:space="preserve">Région SUD  </w:t>
            </w:r>
          </w:p>
        </w:tc>
      </w:tr>
      <w:tr w:rsidR="007E51F5" w:rsidRPr="00475D56" w14:paraId="24B1FE89" w14:textId="77777777" w:rsidTr="00471AA8">
        <w:trPr>
          <w:trHeight w:val="290"/>
        </w:trPr>
        <w:tc>
          <w:tcPr>
            <w:tcW w:w="3227" w:type="dxa"/>
            <w:tcBorders>
              <w:top w:val="none" w:sz="6" w:space="0" w:color="auto"/>
              <w:bottom w:val="none" w:sz="6" w:space="0" w:color="auto"/>
              <w:right w:val="none" w:sz="6" w:space="0" w:color="auto"/>
            </w:tcBorders>
          </w:tcPr>
          <w:p w14:paraId="57893E3C" w14:textId="77777777" w:rsidR="007E51F5" w:rsidRDefault="007E51F5" w:rsidP="00471AA8">
            <w:pPr>
              <w:rPr>
                <w:bCs/>
                <w:sz w:val="20"/>
                <w:szCs w:val="20"/>
              </w:rPr>
            </w:pPr>
            <w:r w:rsidRPr="00475D56">
              <w:rPr>
                <w:bCs/>
                <w:sz w:val="20"/>
                <w:szCs w:val="20"/>
              </w:rPr>
              <w:t>Programme</w:t>
            </w:r>
            <w:r>
              <w:rPr>
                <w:bCs/>
                <w:sz w:val="20"/>
                <w:szCs w:val="20"/>
              </w:rPr>
              <w:t> :</w:t>
            </w:r>
          </w:p>
          <w:p w14:paraId="47255A30" w14:textId="77777777" w:rsidR="007E51F5" w:rsidRPr="00475D56" w:rsidRDefault="007E51F5" w:rsidP="00471AA8">
            <w:pPr>
              <w:rPr>
                <w:bCs/>
                <w:sz w:val="20"/>
                <w:szCs w:val="20"/>
              </w:rPr>
            </w:pPr>
            <w:r w:rsidRPr="00475D56">
              <w:rPr>
                <w:bCs/>
                <w:sz w:val="20"/>
                <w:szCs w:val="20"/>
              </w:rPr>
              <w:t>Appel à projets</w:t>
            </w:r>
            <w:r>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7F01CDD5" w14:textId="77777777" w:rsidR="007E51F5" w:rsidRDefault="007E51F5" w:rsidP="00471AA8">
            <w:pPr>
              <w:rPr>
                <w:bCs/>
                <w:i/>
                <w:iCs/>
                <w:sz w:val="20"/>
                <w:szCs w:val="20"/>
              </w:rPr>
            </w:pPr>
            <w:r w:rsidRPr="00475D56">
              <w:rPr>
                <w:bCs/>
                <w:i/>
                <w:iCs/>
                <w:sz w:val="20"/>
                <w:szCs w:val="20"/>
              </w:rPr>
              <w:t xml:space="preserve">Programme </w:t>
            </w:r>
            <w:r>
              <w:rPr>
                <w:bCs/>
                <w:i/>
                <w:iCs/>
                <w:sz w:val="20"/>
                <w:szCs w:val="20"/>
              </w:rPr>
              <w:t>national FEAMPA Région SUD 2021/2027</w:t>
            </w:r>
          </w:p>
          <w:p w14:paraId="034261E3" w14:textId="3C5599D6" w:rsidR="007E51F5" w:rsidRPr="00475D56" w:rsidRDefault="0038078C" w:rsidP="00471AA8">
            <w:pPr>
              <w:rPr>
                <w:bCs/>
                <w:sz w:val="20"/>
                <w:szCs w:val="20"/>
              </w:rPr>
            </w:pPr>
            <w:r>
              <w:rPr>
                <w:bCs/>
                <w:i/>
                <w:iCs/>
                <w:sz w:val="20"/>
                <w:szCs w:val="20"/>
              </w:rPr>
              <w:t>1</w:t>
            </w:r>
            <w:r w:rsidR="00564872">
              <w:rPr>
                <w:bCs/>
                <w:i/>
                <w:iCs/>
                <w:sz w:val="20"/>
                <w:szCs w:val="20"/>
              </w:rPr>
              <w:t>2</w:t>
            </w:r>
            <w:r>
              <w:rPr>
                <w:bCs/>
                <w:i/>
                <w:iCs/>
                <w:sz w:val="20"/>
                <w:szCs w:val="20"/>
              </w:rPr>
              <w:t>6</w:t>
            </w:r>
            <w:r w:rsidR="00F61F09">
              <w:rPr>
                <w:bCs/>
                <w:i/>
                <w:iCs/>
                <w:sz w:val="20"/>
                <w:szCs w:val="20"/>
              </w:rPr>
              <w:t xml:space="preserve"> – </w:t>
            </w:r>
            <w:r w:rsidR="006F709B">
              <w:rPr>
                <w:bCs/>
                <w:i/>
                <w:iCs/>
                <w:sz w:val="20"/>
                <w:szCs w:val="20"/>
              </w:rPr>
              <w:t xml:space="preserve">1 </w:t>
            </w:r>
            <w:r w:rsidR="00F61F09">
              <w:rPr>
                <w:bCs/>
                <w:i/>
                <w:iCs/>
                <w:sz w:val="20"/>
                <w:szCs w:val="20"/>
              </w:rPr>
              <w:t>«</w:t>
            </w:r>
            <w:r w:rsidR="00F61F09" w:rsidRPr="00E96FC4">
              <w:rPr>
                <w:bCs/>
                <w:i/>
                <w:iCs/>
                <w:sz w:val="20"/>
                <w:szCs w:val="20"/>
              </w:rPr>
              <w:t xml:space="preserve"> </w:t>
            </w:r>
            <w:r w:rsidR="00F61F09">
              <w:rPr>
                <w:bCs/>
                <w:i/>
                <w:iCs/>
                <w:sz w:val="20"/>
                <w:szCs w:val="20"/>
              </w:rPr>
              <w:t>Recherche et innovation pêche d’ampleur régionale »</w:t>
            </w:r>
          </w:p>
        </w:tc>
      </w:tr>
      <w:tr w:rsidR="007E51F5" w:rsidRPr="00475D56" w14:paraId="6D40DE8E" w14:textId="77777777" w:rsidTr="00471AA8">
        <w:trPr>
          <w:trHeight w:val="122"/>
        </w:trPr>
        <w:tc>
          <w:tcPr>
            <w:tcW w:w="3227" w:type="dxa"/>
            <w:tcBorders>
              <w:top w:val="none" w:sz="6" w:space="0" w:color="auto"/>
              <w:bottom w:val="none" w:sz="6" w:space="0" w:color="auto"/>
              <w:right w:val="none" w:sz="6" w:space="0" w:color="auto"/>
            </w:tcBorders>
          </w:tcPr>
          <w:p w14:paraId="5B7E82AB" w14:textId="77777777" w:rsidR="007E51F5" w:rsidRPr="00475D56" w:rsidRDefault="007E51F5" w:rsidP="00471AA8">
            <w:pPr>
              <w:rPr>
                <w:bCs/>
                <w:sz w:val="20"/>
                <w:szCs w:val="20"/>
              </w:rPr>
            </w:pPr>
            <w:r w:rsidRPr="00475D56">
              <w:rPr>
                <w:bCs/>
                <w:sz w:val="20"/>
                <w:szCs w:val="20"/>
              </w:rPr>
              <w:t>Codification</w:t>
            </w:r>
            <w:r>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1F67D41B" w14:textId="39CF5645" w:rsidR="007E51F5" w:rsidRPr="00E96FC4" w:rsidRDefault="007E51F5" w:rsidP="00471AA8">
            <w:pPr>
              <w:rPr>
                <w:bCs/>
                <w:i/>
                <w:iCs/>
                <w:sz w:val="20"/>
                <w:szCs w:val="20"/>
              </w:rPr>
            </w:pPr>
            <w:r w:rsidRPr="00E96FC4">
              <w:rPr>
                <w:bCs/>
                <w:i/>
                <w:iCs/>
                <w:sz w:val="20"/>
                <w:szCs w:val="20"/>
              </w:rPr>
              <w:t xml:space="preserve">PR.1 - OS </w:t>
            </w:r>
            <w:r>
              <w:rPr>
                <w:bCs/>
                <w:i/>
                <w:iCs/>
                <w:sz w:val="20"/>
                <w:szCs w:val="20"/>
              </w:rPr>
              <w:t>1.1.1– </w:t>
            </w:r>
            <w:r w:rsidR="00F61F09">
              <w:rPr>
                <w:bCs/>
                <w:i/>
                <w:iCs/>
                <w:sz w:val="20"/>
                <w:szCs w:val="20"/>
              </w:rPr>
              <w:t>TA1.1.1.4R « recherche et Innovation pêche d’ampleur régionale »</w:t>
            </w:r>
          </w:p>
        </w:tc>
      </w:tr>
      <w:tr w:rsidR="007E51F5" w:rsidRPr="00475D56" w14:paraId="22B4DDA7" w14:textId="77777777" w:rsidTr="00471AA8">
        <w:trPr>
          <w:trHeight w:val="367"/>
        </w:trPr>
        <w:tc>
          <w:tcPr>
            <w:tcW w:w="3227" w:type="dxa"/>
            <w:tcBorders>
              <w:top w:val="none" w:sz="6" w:space="0" w:color="auto"/>
              <w:bottom w:val="none" w:sz="6" w:space="0" w:color="auto"/>
              <w:right w:val="none" w:sz="6" w:space="0" w:color="auto"/>
            </w:tcBorders>
          </w:tcPr>
          <w:p w14:paraId="6CA6EA1D" w14:textId="77777777" w:rsidR="007E51F5" w:rsidRPr="00475D56" w:rsidRDefault="007E51F5" w:rsidP="00471AA8">
            <w:pPr>
              <w:rPr>
                <w:bCs/>
                <w:sz w:val="20"/>
                <w:szCs w:val="20"/>
              </w:rPr>
            </w:pPr>
            <w:r w:rsidRPr="00475D56">
              <w:rPr>
                <w:bCs/>
                <w:sz w:val="20"/>
                <w:szCs w:val="20"/>
              </w:rPr>
              <w:t>Service Guichet</w:t>
            </w:r>
            <w:r>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5A70568A" w14:textId="77777777" w:rsidR="007E51F5" w:rsidRPr="00E96FC4" w:rsidRDefault="007E51F5" w:rsidP="00471AA8">
            <w:pPr>
              <w:rPr>
                <w:bCs/>
                <w:i/>
                <w:iCs/>
                <w:sz w:val="20"/>
                <w:szCs w:val="20"/>
              </w:rPr>
            </w:pPr>
            <w:r w:rsidRPr="00E96FC4">
              <w:rPr>
                <w:bCs/>
                <w:i/>
                <w:iCs/>
                <w:sz w:val="20"/>
                <w:szCs w:val="20"/>
              </w:rPr>
              <w:t>Région SUD S</w:t>
            </w:r>
            <w:r>
              <w:rPr>
                <w:bCs/>
                <w:i/>
                <w:iCs/>
                <w:sz w:val="20"/>
                <w:szCs w:val="20"/>
              </w:rPr>
              <w:t xml:space="preserve">ervice </w:t>
            </w:r>
            <w:r w:rsidRPr="00E96FC4">
              <w:rPr>
                <w:bCs/>
                <w:i/>
                <w:iCs/>
                <w:sz w:val="20"/>
                <w:szCs w:val="20"/>
              </w:rPr>
              <w:t>M</w:t>
            </w:r>
            <w:r>
              <w:rPr>
                <w:bCs/>
                <w:i/>
                <w:iCs/>
                <w:sz w:val="20"/>
                <w:szCs w:val="20"/>
              </w:rPr>
              <w:t>er</w:t>
            </w:r>
            <w:r w:rsidRPr="00E96FC4">
              <w:rPr>
                <w:bCs/>
                <w:i/>
                <w:iCs/>
                <w:sz w:val="20"/>
                <w:szCs w:val="20"/>
              </w:rPr>
              <w:t xml:space="preserve"> </w:t>
            </w:r>
          </w:p>
        </w:tc>
      </w:tr>
      <w:tr w:rsidR="007E51F5" w:rsidRPr="00475D56" w14:paraId="28CDA18A" w14:textId="77777777" w:rsidTr="00471AA8">
        <w:trPr>
          <w:trHeight w:val="74"/>
        </w:trPr>
        <w:tc>
          <w:tcPr>
            <w:tcW w:w="3175" w:type="dxa"/>
            <w:tcBorders>
              <w:top w:val="none" w:sz="6" w:space="0" w:color="auto"/>
              <w:bottom w:val="none" w:sz="6" w:space="0" w:color="auto"/>
              <w:right w:val="none" w:sz="6" w:space="0" w:color="auto"/>
            </w:tcBorders>
          </w:tcPr>
          <w:p w14:paraId="0FA80A44" w14:textId="77777777" w:rsidR="007E51F5" w:rsidRPr="00475D56" w:rsidRDefault="007E51F5" w:rsidP="00471AA8">
            <w:pPr>
              <w:rPr>
                <w:bCs/>
                <w:sz w:val="20"/>
                <w:szCs w:val="20"/>
              </w:rPr>
            </w:pPr>
          </w:p>
        </w:tc>
        <w:tc>
          <w:tcPr>
            <w:tcW w:w="7654" w:type="dxa"/>
            <w:tcBorders>
              <w:top w:val="none" w:sz="6" w:space="0" w:color="auto"/>
              <w:left w:val="none" w:sz="6" w:space="0" w:color="auto"/>
              <w:bottom w:val="none" w:sz="6" w:space="0" w:color="auto"/>
            </w:tcBorders>
            <w:shd w:val="clear" w:color="auto" w:fill="D0CECE" w:themeFill="background2" w:themeFillShade="E6"/>
          </w:tcPr>
          <w:p w14:paraId="3C9E87D4" w14:textId="77777777" w:rsidR="007E51F5" w:rsidRPr="00E96FC4" w:rsidRDefault="007E51F5" w:rsidP="00471AA8">
            <w:pPr>
              <w:rPr>
                <w:bCs/>
                <w:i/>
                <w:iCs/>
                <w:sz w:val="20"/>
                <w:szCs w:val="20"/>
              </w:rPr>
            </w:pPr>
          </w:p>
        </w:tc>
      </w:tr>
      <w:bookmarkEnd w:id="3"/>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3D7879DC" w:rsidR="002834A8" w:rsidRDefault="002834A8">
      <w:pPr>
        <w:rPr>
          <w:b/>
          <w:color w:val="FF0000"/>
        </w:rPr>
      </w:pPr>
    </w:p>
    <w:p w14:paraId="51E7C26A" w14:textId="431A4003" w:rsidR="000965EE" w:rsidRDefault="000965EE">
      <w:pPr>
        <w:rPr>
          <w:b/>
          <w:color w:val="FF0000"/>
        </w:rPr>
      </w:pPr>
    </w:p>
    <w:p w14:paraId="61169552" w14:textId="77777777" w:rsidR="000965EE" w:rsidRDefault="000965EE">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13001B" w:rsidRDefault="00B059E8" w:rsidP="0013001B">
      <w:pPr>
        <w:spacing w:after="0" w:line="240" w:lineRule="auto"/>
        <w:jc w:val="both"/>
        <w:rPr>
          <w:rFonts w:ascii="Calibri" w:eastAsia="Calibri" w:hAnsi="Calibri" w:cs="Times New Roman"/>
          <w:sz w:val="16"/>
          <w:szCs w:val="16"/>
        </w:rPr>
      </w:pPr>
    </w:p>
    <w:p w14:paraId="416A4FB9" w14:textId="77777777" w:rsidR="00244C64" w:rsidRPr="00460E97" w:rsidRDefault="00244C64" w:rsidP="00244C64">
      <w:pPr>
        <w:spacing w:after="120" w:line="240" w:lineRule="auto"/>
        <w:jc w:val="both"/>
        <w:rPr>
          <w:sz w:val="24"/>
          <w:szCs w:val="24"/>
        </w:rPr>
      </w:pPr>
      <w:r w:rsidRPr="00460E97">
        <w:rPr>
          <w:sz w:val="24"/>
          <w:szCs w:val="24"/>
        </w:rPr>
        <w:t>L’objectif spécifique 1.1. du FEAMPA contribue à l’atteinte des objectifs de la Politique Commune des Pêches en assurant la viabilité économique et la durabilité environnementale des entreprises des pêche, des infrastructures et équipements collectifs dont elles ont l’usage, la préservation des ressources à travers le respect des rendements maximum durables, la mise en œuvre de gestion des pêcheries basées sur des approches écosystémiques, en évitant la dégradation de l’environnement marin par les activités de pêche et d’aquaculture, en éliminant graduellement les rejets via la réduction et le débarquement des captures non désirées.</w:t>
      </w:r>
    </w:p>
    <w:p w14:paraId="26815376" w14:textId="4F1B18C8" w:rsidR="00244C64" w:rsidRPr="00460E97" w:rsidRDefault="00244C64" w:rsidP="00244C64">
      <w:pPr>
        <w:spacing w:after="120" w:line="240" w:lineRule="auto"/>
        <w:jc w:val="both"/>
        <w:rPr>
          <w:sz w:val="24"/>
          <w:szCs w:val="24"/>
        </w:rPr>
      </w:pPr>
      <w:r w:rsidRPr="00460E97">
        <w:rPr>
          <w:sz w:val="24"/>
          <w:szCs w:val="24"/>
        </w:rPr>
        <w:t>Comme pour la précédente programmation 2014/2020, la Direction Générale des Affaires Maritimes, de la Pêche et de l’Aquaculture (DGAMPA) reste l’autorité de gestion du programme FEAMPA pour la période 2021-2027, les Régions pouvant se positionner sur la mise en œuvre de tout ou partie de certains objectifs stratégiques en tant qu’organismes intermédiaires. C’est le choix qu</w:t>
      </w:r>
      <w:r w:rsidR="00FA2990">
        <w:rPr>
          <w:sz w:val="24"/>
          <w:szCs w:val="24"/>
        </w:rPr>
        <w:t xml:space="preserve">i a été </w:t>
      </w:r>
      <w:r w:rsidRPr="00460E97">
        <w:rPr>
          <w:sz w:val="24"/>
          <w:szCs w:val="24"/>
        </w:rPr>
        <w:t xml:space="preserve">fait </w:t>
      </w:r>
      <w:r w:rsidR="00FA2990">
        <w:rPr>
          <w:sz w:val="24"/>
          <w:szCs w:val="24"/>
        </w:rPr>
        <w:t xml:space="preserve">par </w:t>
      </w:r>
      <w:r w:rsidRPr="00460E97">
        <w:rPr>
          <w:sz w:val="24"/>
          <w:szCs w:val="24"/>
        </w:rPr>
        <w:t xml:space="preserve">la Région Provence-Alpes-Côte d’Azur sur l’OS 1.1. </w:t>
      </w:r>
      <w:proofErr w:type="gramStart"/>
      <w:r w:rsidRPr="00460E97">
        <w:rPr>
          <w:sz w:val="24"/>
          <w:szCs w:val="24"/>
        </w:rPr>
        <w:t>qui</w:t>
      </w:r>
      <w:proofErr w:type="gramEnd"/>
      <w:r w:rsidRPr="00460E97">
        <w:rPr>
          <w:sz w:val="24"/>
          <w:szCs w:val="24"/>
        </w:rPr>
        <w:t xml:space="preserve"> sera pourvu d’une enveloppe de crédits FEAMPA de 1 377 358,49 €, </w:t>
      </w:r>
      <w:r w:rsidR="00FA2990">
        <w:rPr>
          <w:sz w:val="24"/>
          <w:szCs w:val="24"/>
        </w:rPr>
        <w:t xml:space="preserve">et </w:t>
      </w:r>
      <w:r w:rsidRPr="00460E97">
        <w:rPr>
          <w:sz w:val="24"/>
          <w:szCs w:val="24"/>
        </w:rPr>
        <w:t>qui seront répartis suivant deux sous objectifs :</w:t>
      </w:r>
    </w:p>
    <w:p w14:paraId="4A6B94E2" w14:textId="77777777" w:rsidR="00244C64" w:rsidRPr="00460E97" w:rsidRDefault="00244C64" w:rsidP="00244C64">
      <w:pPr>
        <w:spacing w:after="120" w:line="240" w:lineRule="auto"/>
        <w:jc w:val="both"/>
        <w:rPr>
          <w:sz w:val="24"/>
          <w:szCs w:val="24"/>
        </w:rPr>
      </w:pPr>
      <w:r w:rsidRPr="00460E97">
        <w:rPr>
          <w:sz w:val="24"/>
          <w:szCs w:val="24"/>
        </w:rPr>
        <w:t>-</w:t>
      </w:r>
      <w:r w:rsidRPr="00460E97">
        <w:rPr>
          <w:sz w:val="24"/>
          <w:szCs w:val="24"/>
        </w:rPr>
        <w:tab/>
        <w:t xml:space="preserve">L’OS 1.1.1. </w:t>
      </w:r>
      <w:proofErr w:type="gramStart"/>
      <w:r w:rsidRPr="00460E97">
        <w:rPr>
          <w:sz w:val="24"/>
          <w:szCs w:val="24"/>
        </w:rPr>
        <w:t>qui</w:t>
      </w:r>
      <w:proofErr w:type="gramEnd"/>
      <w:r w:rsidRPr="00460E97">
        <w:rPr>
          <w:sz w:val="24"/>
          <w:szCs w:val="24"/>
        </w:rPr>
        <w:t xml:space="preserve"> vise à renforcer les activités de pêche durables sur le plan économique, social et environnemental (1 100 000 €)</w:t>
      </w:r>
    </w:p>
    <w:p w14:paraId="1C3B72BA" w14:textId="77777777" w:rsidR="00244C64" w:rsidRPr="00460E97" w:rsidRDefault="00244C64" w:rsidP="00EF35AD">
      <w:pPr>
        <w:spacing w:after="120" w:line="240" w:lineRule="auto"/>
        <w:ind w:left="227"/>
        <w:jc w:val="both"/>
        <w:rPr>
          <w:sz w:val="24"/>
          <w:szCs w:val="24"/>
        </w:rPr>
      </w:pPr>
      <w:r w:rsidRPr="00460E97">
        <w:rPr>
          <w:sz w:val="24"/>
          <w:szCs w:val="24"/>
        </w:rPr>
        <w:t xml:space="preserve">Les types d’action suivants pourront être soutenus : </w:t>
      </w:r>
    </w:p>
    <w:p w14:paraId="2FAD0E22" w14:textId="77777777" w:rsidR="00244C64" w:rsidRPr="00460E97" w:rsidRDefault="00244C64" w:rsidP="00EF35AD">
      <w:pPr>
        <w:spacing w:after="120" w:line="240" w:lineRule="auto"/>
        <w:ind w:left="227"/>
        <w:jc w:val="both"/>
        <w:rPr>
          <w:sz w:val="24"/>
          <w:szCs w:val="24"/>
        </w:rPr>
      </w:pPr>
      <w:r w:rsidRPr="00460E97">
        <w:rPr>
          <w:sz w:val="24"/>
          <w:szCs w:val="24"/>
        </w:rPr>
        <w:t>-  TA 1.1.1.1 « Modernisation des navires de pêche, adaptation et diversification des activités de pêche » ;</w:t>
      </w:r>
    </w:p>
    <w:p w14:paraId="1D03E98C" w14:textId="77777777" w:rsidR="00244C64" w:rsidRPr="00460E97" w:rsidRDefault="00244C64" w:rsidP="00EF35AD">
      <w:pPr>
        <w:spacing w:after="120" w:line="240" w:lineRule="auto"/>
        <w:ind w:left="227"/>
        <w:jc w:val="both"/>
        <w:rPr>
          <w:sz w:val="24"/>
          <w:szCs w:val="24"/>
        </w:rPr>
      </w:pPr>
      <w:r w:rsidRPr="00460E97">
        <w:rPr>
          <w:sz w:val="24"/>
          <w:szCs w:val="24"/>
        </w:rPr>
        <w:t>-  TA 1.1.1.3 « Investissements dans les ports de pêche et sites de débarquement » ;</w:t>
      </w:r>
    </w:p>
    <w:p w14:paraId="3A23665E" w14:textId="26EC3C9D" w:rsidR="00244C64" w:rsidRPr="00460E97" w:rsidRDefault="00244C64" w:rsidP="00EF35AD">
      <w:pPr>
        <w:spacing w:after="120" w:line="240" w:lineRule="auto"/>
        <w:ind w:left="227"/>
        <w:jc w:val="both"/>
        <w:rPr>
          <w:sz w:val="24"/>
          <w:szCs w:val="24"/>
        </w:rPr>
      </w:pPr>
      <w:r w:rsidRPr="00460E97">
        <w:rPr>
          <w:sz w:val="24"/>
          <w:szCs w:val="24"/>
        </w:rPr>
        <w:t xml:space="preserve">-   TA 1.1.1.4R « Recherche et innovation </w:t>
      </w:r>
      <w:r w:rsidR="00C772D6">
        <w:rPr>
          <w:sz w:val="24"/>
          <w:szCs w:val="24"/>
        </w:rPr>
        <w:t xml:space="preserve">pêche </w:t>
      </w:r>
      <w:r w:rsidRPr="00460E97">
        <w:rPr>
          <w:sz w:val="24"/>
          <w:szCs w:val="24"/>
        </w:rPr>
        <w:t>d’ampleur régional</w:t>
      </w:r>
      <w:r w:rsidR="00FA2990">
        <w:rPr>
          <w:sz w:val="24"/>
          <w:szCs w:val="24"/>
        </w:rPr>
        <w:t>e</w:t>
      </w:r>
      <w:r w:rsidRPr="00460E97">
        <w:rPr>
          <w:sz w:val="24"/>
          <w:szCs w:val="24"/>
        </w:rPr>
        <w:t xml:space="preserve"> » ;</w:t>
      </w:r>
    </w:p>
    <w:p w14:paraId="7B1AFB10" w14:textId="77777777" w:rsidR="00244C64" w:rsidRPr="00460E97" w:rsidRDefault="00244C64" w:rsidP="00244C64">
      <w:pPr>
        <w:spacing w:after="120" w:line="240" w:lineRule="auto"/>
        <w:jc w:val="both"/>
        <w:rPr>
          <w:sz w:val="24"/>
          <w:szCs w:val="24"/>
        </w:rPr>
      </w:pPr>
      <w:r w:rsidRPr="00460E97">
        <w:rPr>
          <w:sz w:val="24"/>
          <w:szCs w:val="24"/>
        </w:rPr>
        <w:t>-</w:t>
      </w:r>
      <w:r w:rsidRPr="00460E97">
        <w:rPr>
          <w:sz w:val="24"/>
          <w:szCs w:val="24"/>
        </w:rPr>
        <w:tab/>
        <w:t xml:space="preserve">L’OS 1.1.2. </w:t>
      </w:r>
      <w:proofErr w:type="gramStart"/>
      <w:r w:rsidRPr="00460E97">
        <w:rPr>
          <w:sz w:val="24"/>
          <w:szCs w:val="24"/>
        </w:rPr>
        <w:t>qui</w:t>
      </w:r>
      <w:proofErr w:type="gramEnd"/>
      <w:r w:rsidRPr="00460E97">
        <w:rPr>
          <w:sz w:val="24"/>
          <w:szCs w:val="24"/>
        </w:rPr>
        <w:t xml:space="preserve"> vise à améliorer l’attractivité des métiers de la pêche et à favoriser le renouvellement des générations dans la pêche maritime et la pêche professionnelle en eau douce (277 358,49 €).</w:t>
      </w:r>
    </w:p>
    <w:p w14:paraId="551E89A0" w14:textId="77777777" w:rsidR="00244C64" w:rsidRPr="00460E97" w:rsidRDefault="00244C64" w:rsidP="00EF35AD">
      <w:pPr>
        <w:spacing w:after="120" w:line="240" w:lineRule="auto"/>
        <w:ind w:left="227"/>
        <w:jc w:val="both"/>
        <w:rPr>
          <w:sz w:val="24"/>
          <w:szCs w:val="24"/>
        </w:rPr>
      </w:pPr>
      <w:r w:rsidRPr="00460E97">
        <w:rPr>
          <w:sz w:val="24"/>
          <w:szCs w:val="24"/>
        </w:rPr>
        <w:t>Les types d’action suivants pourront être soutenus :</w:t>
      </w:r>
    </w:p>
    <w:p w14:paraId="0F929FDC" w14:textId="77777777" w:rsidR="00244C64" w:rsidRPr="00460E97" w:rsidRDefault="00244C64" w:rsidP="00EF35AD">
      <w:pPr>
        <w:spacing w:after="120" w:line="240" w:lineRule="auto"/>
        <w:ind w:left="227"/>
        <w:jc w:val="both"/>
        <w:rPr>
          <w:sz w:val="24"/>
          <w:szCs w:val="24"/>
        </w:rPr>
      </w:pPr>
      <w:r w:rsidRPr="00460E97">
        <w:rPr>
          <w:sz w:val="24"/>
          <w:szCs w:val="24"/>
        </w:rPr>
        <w:t>-   TA 1.1.2.1 « Installation des jeunes pêcheurs » ;</w:t>
      </w:r>
    </w:p>
    <w:p w14:paraId="070B8182" w14:textId="77777777" w:rsidR="00244C64" w:rsidRDefault="00244C64" w:rsidP="00EF35AD">
      <w:pPr>
        <w:spacing w:after="120" w:line="240" w:lineRule="auto"/>
        <w:ind w:left="227"/>
        <w:jc w:val="both"/>
        <w:rPr>
          <w:sz w:val="24"/>
          <w:szCs w:val="24"/>
        </w:rPr>
      </w:pPr>
      <w:r w:rsidRPr="00460E97">
        <w:rPr>
          <w:sz w:val="24"/>
          <w:szCs w:val="24"/>
        </w:rPr>
        <w:t>-   TA 1.1.2.2 « Opérations à bord entrainant une augmentation du tonnage brut pour améliorer la sécurité, les conditions de travail à bord des navires ou l’efficacité énergétique » ;</w:t>
      </w:r>
    </w:p>
    <w:p w14:paraId="5CF9756C" w14:textId="77777777" w:rsidR="009D7F38" w:rsidRDefault="009D7F38" w:rsidP="00EF35AD">
      <w:pPr>
        <w:spacing w:after="120" w:line="240" w:lineRule="auto"/>
        <w:ind w:left="227"/>
        <w:jc w:val="both"/>
        <w:rPr>
          <w:sz w:val="24"/>
          <w:szCs w:val="24"/>
        </w:rPr>
      </w:pPr>
    </w:p>
    <w:p w14:paraId="6B14369C" w14:textId="77777777" w:rsidR="009D7F38" w:rsidRPr="009D7F38" w:rsidRDefault="009D7F38" w:rsidP="009D7F38">
      <w:pPr>
        <w:spacing w:after="120" w:line="240" w:lineRule="auto"/>
        <w:ind w:left="227"/>
        <w:jc w:val="both"/>
        <w:rPr>
          <w:sz w:val="24"/>
          <w:szCs w:val="24"/>
        </w:rPr>
      </w:pPr>
      <w:r w:rsidRPr="009D7F38">
        <w:rPr>
          <w:sz w:val="24"/>
          <w:szCs w:val="24"/>
        </w:rPr>
        <w:t>La gestion des actions « Recherche et Innovation » du FEAMPA a été déléguée aux Régions avec des guichets régionaux et un guichet national innovation piloté par la Région Bretagne et mis en œuvre par un système d’appels à projet avec des contenus spécifiques précisés dans les cahiers des charges.</w:t>
      </w:r>
    </w:p>
    <w:p w14:paraId="24454170" w14:textId="77777777" w:rsidR="009D7F38" w:rsidRPr="009D7F38" w:rsidRDefault="009D7F38" w:rsidP="009D7F38">
      <w:pPr>
        <w:spacing w:after="120" w:line="240" w:lineRule="auto"/>
        <w:ind w:left="227"/>
        <w:jc w:val="both"/>
        <w:rPr>
          <w:sz w:val="24"/>
          <w:szCs w:val="24"/>
        </w:rPr>
      </w:pPr>
      <w:r w:rsidRPr="009D7F38">
        <w:rPr>
          <w:sz w:val="24"/>
          <w:szCs w:val="24"/>
        </w:rPr>
        <w:t>D’une manière générale, le fonds européen pour les affaires maritimes, la pêche et l’aquaculture (FEAMPA) accompagne une ambition forte pour amorcer des actions innovantes et financer la recherche et le déploiement de nouveaux process ou solutions, produits, équipements ou approches marketing innovantes, en cohérence avec les forts enjeux en matière de pêches, de gestion des milieux et d’adaptation des filières pêche et aquaculture au changement climatique.</w:t>
      </w:r>
    </w:p>
    <w:p w14:paraId="3F0994B5" w14:textId="4C46E68D" w:rsidR="009D7F38" w:rsidRDefault="009D7F38" w:rsidP="009D7F38">
      <w:pPr>
        <w:spacing w:after="120" w:line="240" w:lineRule="auto"/>
        <w:ind w:left="227"/>
        <w:jc w:val="both"/>
        <w:rPr>
          <w:sz w:val="24"/>
          <w:szCs w:val="24"/>
        </w:rPr>
      </w:pPr>
      <w:r w:rsidRPr="009D7F38">
        <w:rPr>
          <w:sz w:val="24"/>
          <w:szCs w:val="24"/>
        </w:rPr>
        <w:t>La diminution de l’impact des activités de pêche sur le milieu marin est un enjeu pour le maintien de la biodiversité et une attente sociétale de plus en forte. Ce contexte renforce le besoin d’innovation continue dans ce domaine, en complémentarité des nombreux projets qui ont d’ores et déjà été mis en œuvre sur la sélectivité des engins de pêche ou la diminution du train de pêche sur les fonds marins.</w:t>
      </w:r>
    </w:p>
    <w:p w14:paraId="5DE7044F" w14:textId="77777777" w:rsidR="009D7F38" w:rsidRDefault="009D7F38" w:rsidP="00EF35AD">
      <w:pPr>
        <w:spacing w:after="120" w:line="240" w:lineRule="auto"/>
        <w:ind w:left="227"/>
        <w:jc w:val="both"/>
        <w:rPr>
          <w:sz w:val="24"/>
          <w:szCs w:val="24"/>
        </w:rPr>
      </w:pPr>
    </w:p>
    <w:p w14:paraId="11E9F608" w14:textId="19A34CD8" w:rsidR="00000466" w:rsidRDefault="00AE5D22" w:rsidP="00D32D5E">
      <w:pPr>
        <w:spacing w:after="120" w:line="240" w:lineRule="auto"/>
        <w:ind w:firstLine="708"/>
        <w:jc w:val="both"/>
        <w:rPr>
          <w:b/>
          <w:sz w:val="32"/>
          <w:szCs w:val="32"/>
        </w:rPr>
      </w:pPr>
      <w:bookmarkStart w:id="4" w:name="_Hlk123057814"/>
      <w:r w:rsidRPr="00AE5D22">
        <w:rPr>
          <w:b/>
          <w:sz w:val="32"/>
          <w:szCs w:val="32"/>
        </w:rPr>
        <w:lastRenderedPageBreak/>
        <w:t>2. Objectif du présent Appel</w:t>
      </w:r>
    </w:p>
    <w:p w14:paraId="51D8E1A6" w14:textId="77777777" w:rsidR="00CF714B" w:rsidRDefault="00CF714B" w:rsidP="00D32D5E">
      <w:pPr>
        <w:spacing w:after="120" w:line="240" w:lineRule="auto"/>
        <w:ind w:firstLine="708"/>
        <w:jc w:val="both"/>
        <w:rPr>
          <w:b/>
          <w:sz w:val="32"/>
          <w:szCs w:val="32"/>
        </w:rPr>
      </w:pPr>
    </w:p>
    <w:bookmarkEnd w:id="4"/>
    <w:p w14:paraId="70A22AC7" w14:textId="77777777" w:rsidR="005B6020" w:rsidRPr="005B6020" w:rsidRDefault="005B6020" w:rsidP="00D5111A">
      <w:pPr>
        <w:spacing w:after="0"/>
        <w:jc w:val="both"/>
        <w:rPr>
          <w:rFonts w:ascii="Calibri" w:hAnsi="Calibri" w:cs="Calibri"/>
        </w:rPr>
      </w:pPr>
      <w:r w:rsidRPr="005B6020">
        <w:rPr>
          <w:rFonts w:ascii="Calibri" w:hAnsi="Calibri" w:cs="Calibri"/>
        </w:rPr>
        <w:t xml:space="preserve">La perte ou l’abandon d’engins de pêche est responsable de captures accidentelles et non visibles d’espèces d’intérêt commercial comme d’espèces protégées et pouvant se produire sur de très longues périodes tant que l’engin de pêche reste opérationnel.  </w:t>
      </w:r>
    </w:p>
    <w:p w14:paraId="18500404" w14:textId="77777777" w:rsidR="005B6020" w:rsidRPr="005B6020" w:rsidRDefault="005B6020" w:rsidP="00D5111A">
      <w:pPr>
        <w:spacing w:after="0"/>
        <w:jc w:val="both"/>
        <w:rPr>
          <w:rFonts w:ascii="Calibri" w:hAnsi="Calibri" w:cs="Calibri"/>
        </w:rPr>
      </w:pPr>
      <w:r w:rsidRPr="005B6020">
        <w:rPr>
          <w:rFonts w:ascii="Calibri" w:hAnsi="Calibri" w:cs="Calibri"/>
        </w:rPr>
        <w:t>Cette pêche « fantôme », représente une nuisance majeure pour l’écosystème avec la dégradation et l’arrachage d’espèces fixées (FAO, 2020).</w:t>
      </w:r>
    </w:p>
    <w:p w14:paraId="50B6BA56" w14:textId="77777777" w:rsidR="005B6020" w:rsidRPr="005B6020" w:rsidRDefault="005B6020" w:rsidP="00D5111A">
      <w:pPr>
        <w:spacing w:after="0"/>
        <w:jc w:val="both"/>
        <w:rPr>
          <w:rFonts w:ascii="Calibri" w:hAnsi="Calibri" w:cs="Calibri"/>
        </w:rPr>
      </w:pPr>
      <w:r w:rsidRPr="005B6020">
        <w:rPr>
          <w:rFonts w:ascii="Calibri" w:hAnsi="Calibri" w:cs="Calibri"/>
        </w:rPr>
        <w:t>Elle est aussi la cause de problèmes financiers, pour le pêcheur ayant perdu son outil de travail, mais aussi pour le gâchis en termes de ressource perdue. Enfin, part importante des débris marins, ces épaves peuvent être dangereuses pour tout usager de la mer, bateau, plongeur ou baigneur et dégradent le paysage sous-marin.</w:t>
      </w:r>
    </w:p>
    <w:p w14:paraId="0D174784" w14:textId="77777777" w:rsidR="005B6020" w:rsidRPr="005B6020" w:rsidRDefault="005B6020" w:rsidP="00D5111A">
      <w:pPr>
        <w:spacing w:after="0"/>
        <w:jc w:val="both"/>
        <w:rPr>
          <w:rFonts w:ascii="Calibri" w:hAnsi="Calibri" w:cs="Calibri"/>
        </w:rPr>
      </w:pPr>
      <w:r w:rsidRPr="005B6020">
        <w:rPr>
          <w:rFonts w:ascii="Calibri" w:hAnsi="Calibri" w:cs="Calibri"/>
        </w:rPr>
        <w:t>Les engins de pêche sont souvent perdus par la perte des signaux de surface (arrachés par un bateau) ou par un accrochage sur le fond.</w:t>
      </w:r>
    </w:p>
    <w:p w14:paraId="574B2303" w14:textId="240BE8C3" w:rsidR="009D7F38" w:rsidRDefault="005B6020" w:rsidP="00D5111A">
      <w:pPr>
        <w:spacing w:after="0"/>
        <w:jc w:val="both"/>
        <w:rPr>
          <w:rFonts w:ascii="Calibri" w:hAnsi="Calibri" w:cs="Calibri"/>
        </w:rPr>
      </w:pPr>
      <w:r w:rsidRPr="005B6020">
        <w:rPr>
          <w:rFonts w:ascii="Calibri" w:hAnsi="Calibri" w:cs="Calibri"/>
        </w:rPr>
        <w:t xml:space="preserve">Si les engins de pêche perdus en faible profondeur perdent en quelques mois leur capacité de pêche par l’effet des courants et du </w:t>
      </w:r>
      <w:proofErr w:type="spellStart"/>
      <w:r w:rsidRPr="005B6020">
        <w:rPr>
          <w:rFonts w:ascii="Calibri" w:hAnsi="Calibri" w:cs="Calibri"/>
        </w:rPr>
        <w:t>concr</w:t>
      </w:r>
      <w:r w:rsidR="004D4816">
        <w:rPr>
          <w:rFonts w:ascii="Calibri" w:hAnsi="Calibri" w:cs="Calibri"/>
        </w:rPr>
        <w:t>é</w:t>
      </w:r>
      <w:r w:rsidRPr="005B6020">
        <w:rPr>
          <w:rFonts w:ascii="Calibri" w:hAnsi="Calibri" w:cs="Calibri"/>
        </w:rPr>
        <w:t>tionnement</w:t>
      </w:r>
      <w:proofErr w:type="spellEnd"/>
      <w:r w:rsidRPr="005B6020">
        <w:rPr>
          <w:rFonts w:ascii="Calibri" w:hAnsi="Calibri" w:cs="Calibri"/>
        </w:rPr>
        <w:t xml:space="preserve">, ils vont en revanche étouffer les écosystèmes par le recouvrement de divers animaux et plantes fixés. Quant à ceux perdus dans de plus grandes profondeurs, plus difficilement récupérables, ils vont continuer à être pêchant plus longtemps en raison d’un </w:t>
      </w:r>
      <w:proofErr w:type="spellStart"/>
      <w:r w:rsidRPr="005B6020">
        <w:rPr>
          <w:rFonts w:ascii="Calibri" w:hAnsi="Calibri" w:cs="Calibri"/>
        </w:rPr>
        <w:t>fouling</w:t>
      </w:r>
      <w:proofErr w:type="spellEnd"/>
      <w:r w:rsidRPr="005B6020">
        <w:rPr>
          <w:rFonts w:ascii="Calibri" w:hAnsi="Calibri" w:cs="Calibri"/>
        </w:rPr>
        <w:t xml:space="preserve"> moins important et de plus faibles courants et piéger des espèces commerciales et protégées</w:t>
      </w:r>
    </w:p>
    <w:p w14:paraId="0D13CE12" w14:textId="77777777" w:rsidR="005B6020" w:rsidRDefault="005B6020" w:rsidP="00D5111A">
      <w:pPr>
        <w:spacing w:after="0"/>
        <w:jc w:val="both"/>
        <w:rPr>
          <w:rFonts w:ascii="Calibri" w:hAnsi="Calibri" w:cs="Calibri"/>
        </w:rPr>
      </w:pPr>
    </w:p>
    <w:p w14:paraId="7AD41436" w14:textId="7703EB2B" w:rsidR="005B6020" w:rsidRDefault="005B6020" w:rsidP="00D5111A">
      <w:pPr>
        <w:spacing w:after="0"/>
        <w:jc w:val="both"/>
        <w:rPr>
          <w:rFonts w:ascii="Calibri" w:hAnsi="Calibri" w:cs="Calibri"/>
        </w:rPr>
      </w:pPr>
      <w:r w:rsidRPr="005B6020">
        <w:rPr>
          <w:rFonts w:ascii="Calibri" w:hAnsi="Calibri" w:cs="Calibri"/>
        </w:rPr>
        <w:t>Parmi l’ensemble des engins de pêche utilisés notamment en Méditerranée, les filets maillants et les trémails sont considérés comme étant les plus impactant sur l’environnement.</w:t>
      </w:r>
      <w:r w:rsidR="00AC2CCF">
        <w:rPr>
          <w:rFonts w:ascii="Calibri" w:hAnsi="Calibri" w:cs="Calibri"/>
        </w:rPr>
        <w:t xml:space="preserve"> </w:t>
      </w:r>
      <w:r w:rsidRPr="005B6020">
        <w:rPr>
          <w:rFonts w:ascii="Calibri" w:hAnsi="Calibri" w:cs="Calibri"/>
        </w:rPr>
        <w:t xml:space="preserve">L’étude </w:t>
      </w:r>
      <w:r w:rsidR="004D4816">
        <w:rPr>
          <w:rFonts w:ascii="Calibri" w:hAnsi="Calibri" w:cs="Calibri"/>
        </w:rPr>
        <w:t>« </w:t>
      </w:r>
      <w:proofErr w:type="spellStart"/>
      <w:r w:rsidRPr="005B6020">
        <w:rPr>
          <w:rFonts w:ascii="Calibri" w:hAnsi="Calibri" w:cs="Calibri"/>
        </w:rPr>
        <w:t>Fantared</w:t>
      </w:r>
      <w:proofErr w:type="spellEnd"/>
      <w:r w:rsidR="00307385">
        <w:rPr>
          <w:rFonts w:ascii="Calibri" w:hAnsi="Calibri" w:cs="Calibri"/>
        </w:rPr>
        <w:t xml:space="preserve"> </w:t>
      </w:r>
      <w:r w:rsidRPr="005B6020">
        <w:rPr>
          <w:rFonts w:ascii="Calibri" w:hAnsi="Calibri" w:cs="Calibri"/>
        </w:rPr>
        <w:t>2</w:t>
      </w:r>
      <w:r w:rsidR="004D4816">
        <w:rPr>
          <w:rFonts w:ascii="Calibri" w:hAnsi="Calibri" w:cs="Calibri"/>
        </w:rPr>
        <w:t> »</w:t>
      </w:r>
      <w:r w:rsidRPr="005B6020">
        <w:rPr>
          <w:rFonts w:ascii="Calibri" w:hAnsi="Calibri" w:cs="Calibri"/>
        </w:rPr>
        <w:t xml:space="preserve"> estime que chaque fileyeur méditerranéen perd environ annuellement entre 0,1 et 0,3 % par longueur calée.</w:t>
      </w:r>
    </w:p>
    <w:p w14:paraId="2B0ABBD1" w14:textId="77777777" w:rsidR="00AC2CCF" w:rsidRPr="005B6020" w:rsidRDefault="00AC2CCF" w:rsidP="00D5111A">
      <w:pPr>
        <w:spacing w:after="0"/>
        <w:jc w:val="both"/>
        <w:rPr>
          <w:rFonts w:ascii="Calibri" w:hAnsi="Calibri" w:cs="Calibri"/>
        </w:rPr>
      </w:pPr>
    </w:p>
    <w:p w14:paraId="351842CB" w14:textId="3C75F8BE" w:rsidR="005B6020" w:rsidRPr="005B6020" w:rsidRDefault="00891FA3" w:rsidP="00D5111A">
      <w:pPr>
        <w:spacing w:after="0"/>
        <w:jc w:val="both"/>
        <w:rPr>
          <w:rFonts w:ascii="Calibri" w:hAnsi="Calibri" w:cs="Calibri"/>
        </w:rPr>
      </w:pPr>
      <w:r>
        <w:rPr>
          <w:rFonts w:ascii="Calibri" w:hAnsi="Calibri" w:cs="Calibri"/>
        </w:rPr>
        <w:t>Ainsi, s</w:t>
      </w:r>
      <w:r w:rsidR="005B6020" w:rsidRPr="005B6020">
        <w:rPr>
          <w:rFonts w:ascii="Calibri" w:hAnsi="Calibri" w:cs="Calibri"/>
        </w:rPr>
        <w:t>ur les 16</w:t>
      </w:r>
      <w:r>
        <w:rPr>
          <w:rFonts w:ascii="Calibri" w:hAnsi="Calibri" w:cs="Calibri"/>
        </w:rPr>
        <w:t>2</w:t>
      </w:r>
      <w:r w:rsidR="005B6020" w:rsidRPr="005B6020">
        <w:rPr>
          <w:rFonts w:ascii="Calibri" w:hAnsi="Calibri" w:cs="Calibri"/>
        </w:rPr>
        <w:t xml:space="preserve"> navires de petite pêche du Var, une soixantaine pratiquent d’une façon exclusive les métiers de filets à raison de 180 sorties par an. Selon diverses sources et enquêtes (Ifremer, CLPMEM</w:t>
      </w:r>
      <w:r>
        <w:rPr>
          <w:rFonts w:ascii="Calibri" w:hAnsi="Calibri" w:cs="Calibri"/>
        </w:rPr>
        <w:t xml:space="preserve"> 83</w:t>
      </w:r>
      <w:r w:rsidR="005B6020" w:rsidRPr="005B6020">
        <w:rPr>
          <w:rFonts w:ascii="Calibri" w:hAnsi="Calibri" w:cs="Calibri"/>
        </w:rPr>
        <w:t>), entre 500 et 3500 m de filets sont calés au cours de chacune d’elles selon les espèces ciblées. On peut donc estimer qu’en moyenne plus de 40 km de filets peuvent être perdus chaque année dans les eaux du Var sous diverses formes (nappes déchirées, pièces entières, etc.).</w:t>
      </w:r>
    </w:p>
    <w:p w14:paraId="4D190663" w14:textId="7EC7443A" w:rsidR="005B6020" w:rsidRDefault="005B6020" w:rsidP="00D5111A">
      <w:pPr>
        <w:spacing w:after="0"/>
        <w:jc w:val="both"/>
        <w:rPr>
          <w:rFonts w:ascii="Calibri" w:hAnsi="Calibri" w:cs="Calibri"/>
        </w:rPr>
      </w:pPr>
      <w:r w:rsidRPr="005B6020">
        <w:rPr>
          <w:rFonts w:ascii="Calibri" w:hAnsi="Calibri" w:cs="Calibri"/>
        </w:rPr>
        <w:t>La nécessité de prendre en compte cette problématique se situe pleinement dans le cadre du Code de l’environnement regroupant les lois structurantes de la gestion des déchets et de l’environnement marin et qui impose leur mise en œuvre effective sur le territoire français.</w:t>
      </w:r>
    </w:p>
    <w:p w14:paraId="6207A2C4" w14:textId="77777777" w:rsidR="00D969A2" w:rsidRDefault="00D969A2" w:rsidP="00D5111A">
      <w:pPr>
        <w:spacing w:after="0"/>
        <w:jc w:val="both"/>
        <w:rPr>
          <w:rFonts w:ascii="Calibri" w:hAnsi="Calibri" w:cs="Calibri"/>
        </w:rPr>
      </w:pPr>
    </w:p>
    <w:p w14:paraId="0451C986" w14:textId="312523ED" w:rsidR="00D969A2" w:rsidRPr="00D969A2" w:rsidRDefault="00AC2CCF" w:rsidP="00D5111A">
      <w:pPr>
        <w:spacing w:after="0"/>
        <w:jc w:val="both"/>
        <w:rPr>
          <w:rFonts w:ascii="Calibri" w:hAnsi="Calibri" w:cs="Calibri"/>
        </w:rPr>
      </w:pPr>
      <w:r>
        <w:rPr>
          <w:rFonts w:ascii="Calibri" w:hAnsi="Calibri" w:cs="Calibri"/>
        </w:rPr>
        <w:t>Aussi, l</w:t>
      </w:r>
      <w:r w:rsidR="00D969A2" w:rsidRPr="00D969A2">
        <w:rPr>
          <w:rFonts w:ascii="Calibri" w:hAnsi="Calibri" w:cs="Calibri"/>
        </w:rPr>
        <w:t xml:space="preserve">a </w:t>
      </w:r>
      <w:r w:rsidR="00D969A2">
        <w:rPr>
          <w:rFonts w:ascii="Calibri" w:hAnsi="Calibri" w:cs="Calibri"/>
        </w:rPr>
        <w:t>R</w:t>
      </w:r>
      <w:r w:rsidR="00D969A2" w:rsidRPr="00D969A2">
        <w:rPr>
          <w:rFonts w:ascii="Calibri" w:hAnsi="Calibri" w:cs="Calibri"/>
        </w:rPr>
        <w:t>égion Provence-Alpes-Côte d’Azur souhaite aider au développement de toute technologie limitant la perte des engins de pêche et aider aux retraits de ceux-ci.</w:t>
      </w:r>
    </w:p>
    <w:p w14:paraId="50ACBC39" w14:textId="77777777" w:rsidR="00D969A2" w:rsidRPr="00D969A2" w:rsidRDefault="00D969A2" w:rsidP="00D5111A">
      <w:pPr>
        <w:spacing w:after="0"/>
        <w:jc w:val="both"/>
        <w:rPr>
          <w:rFonts w:ascii="Calibri" w:hAnsi="Calibri" w:cs="Calibri"/>
        </w:rPr>
      </w:pPr>
      <w:r w:rsidRPr="00D969A2">
        <w:rPr>
          <w:rFonts w:ascii="Calibri" w:hAnsi="Calibri" w:cs="Calibri"/>
        </w:rPr>
        <w:t xml:space="preserve"> </w:t>
      </w:r>
    </w:p>
    <w:p w14:paraId="38508933" w14:textId="0DBDA66F" w:rsidR="00D969A2" w:rsidRPr="00891FA3" w:rsidRDefault="00D969A2" w:rsidP="00D5111A">
      <w:pPr>
        <w:spacing w:after="0"/>
        <w:jc w:val="both"/>
        <w:rPr>
          <w:rFonts w:ascii="Calibri" w:hAnsi="Calibri" w:cs="Calibri"/>
        </w:rPr>
      </w:pPr>
      <w:r w:rsidRPr="00891FA3">
        <w:rPr>
          <w:rFonts w:ascii="Calibri" w:hAnsi="Calibri" w:cs="Calibri"/>
        </w:rPr>
        <w:t>L’objectif du présent appel à projets est la mise au point d’une ou de solutions techniques simples permettant d’éviter la perte en mer d’engins de pêche ou le cas échéant d’aider à leur récupération dans des délais les plus brefs possible.</w:t>
      </w:r>
    </w:p>
    <w:p w14:paraId="5105B3C6" w14:textId="77777777" w:rsidR="00E40A03" w:rsidRDefault="00E40A03" w:rsidP="00D5111A">
      <w:pPr>
        <w:spacing w:after="0"/>
        <w:jc w:val="both"/>
        <w:rPr>
          <w:rFonts w:ascii="Calibri" w:hAnsi="Calibri" w:cs="Calibri"/>
        </w:rPr>
      </w:pPr>
    </w:p>
    <w:p w14:paraId="631A9A90" w14:textId="4D9D3A0C" w:rsidR="0006589F" w:rsidRPr="0006589F" w:rsidRDefault="00200C04" w:rsidP="0006589F">
      <w:pPr>
        <w:jc w:val="both"/>
      </w:pPr>
      <w:r>
        <w:rPr>
          <w:rFonts w:ascii="Calibri" w:hAnsi="Calibri" w:cs="Calibri"/>
          <w14:textOutline w14:w="3175" w14:cap="rnd" w14:cmpd="sng" w14:algn="ctr">
            <w14:noFill/>
            <w14:prstDash w14:val="solid"/>
            <w14:bevel/>
          </w14:textOutline>
        </w:rPr>
        <w:t xml:space="preserve">A ce titre, </w:t>
      </w:r>
      <w:r w:rsidR="001F542C">
        <w:rPr>
          <w:rFonts w:ascii="Calibri" w:hAnsi="Calibri" w:cs="Calibri"/>
          <w14:textOutline w14:w="3175" w14:cap="rnd" w14:cmpd="sng" w14:algn="ctr">
            <w14:noFill/>
            <w14:prstDash w14:val="solid"/>
            <w14:bevel/>
          </w14:textOutline>
        </w:rPr>
        <w:t xml:space="preserve">cet </w:t>
      </w:r>
      <w:r w:rsidR="001F542C" w:rsidRPr="0056769D">
        <w:rPr>
          <w:rFonts w:ascii="Calibri" w:hAnsi="Calibri" w:cs="Calibri"/>
          <w14:textOutline w14:w="3175" w14:cap="rnd" w14:cmpd="sng" w14:algn="ctr">
            <w14:noFill/>
            <w14:prstDash w14:val="solid"/>
            <w14:bevel/>
          </w14:textOutline>
        </w:rPr>
        <w:t>appel à projet</w:t>
      </w:r>
      <w:r w:rsidR="001F542C">
        <w:rPr>
          <w:rFonts w:ascii="Calibri" w:hAnsi="Calibri" w:cs="Calibri"/>
          <w14:textOutline w14:w="3175" w14:cap="rnd" w14:cmpd="sng" w14:algn="ctr">
            <w14:noFill/>
            <w14:prstDash w14:val="solid"/>
            <w14:bevel/>
          </w14:textOutline>
        </w:rPr>
        <w:t xml:space="preserve"> </w:t>
      </w:r>
      <w:r w:rsidR="00891FA3">
        <w:rPr>
          <w:rFonts w:ascii="Calibri" w:hAnsi="Calibri" w:cs="Calibri"/>
          <w14:textOutline w14:w="3175" w14:cap="rnd" w14:cmpd="sng" w14:algn="ctr">
            <w14:noFill/>
            <w14:prstDash w14:val="solid"/>
            <w14:bevel/>
          </w14:textOutline>
        </w:rPr>
        <w:t xml:space="preserve">vise à </w:t>
      </w:r>
      <w:r w:rsidR="001F542C">
        <w:rPr>
          <w:rFonts w:ascii="Calibri" w:hAnsi="Calibri" w:cs="Calibri"/>
          <w14:textOutline w14:w="3175" w14:cap="rnd" w14:cmpd="sng" w14:algn="ctr">
            <w14:noFill/>
            <w14:prstDash w14:val="solid"/>
            <w14:bevel/>
          </w14:textOutline>
        </w:rPr>
        <w:t>f</w:t>
      </w:r>
      <w:r w:rsidR="001F542C" w:rsidRPr="0056769D">
        <w:rPr>
          <w:rFonts w:ascii="Calibri" w:hAnsi="Calibri" w:cs="Calibri"/>
          <w14:textOutline w14:w="3175" w14:cap="rnd" w14:cmpd="sng" w14:algn="ctr">
            <w14:noFill/>
            <w14:prstDash w14:val="solid"/>
            <w14:bevel/>
          </w14:textOutline>
        </w:rPr>
        <w:t xml:space="preserve">inancer des projets collaboratifs </w:t>
      </w:r>
      <w:r w:rsidR="00891FA3">
        <w:rPr>
          <w:rFonts w:ascii="Calibri" w:hAnsi="Calibri" w:cs="Calibri"/>
          <w14:textOutline w14:w="3175" w14:cap="rnd" w14:cmpd="sng" w14:algn="ctr">
            <w14:noFill/>
            <w14:prstDash w14:val="solid"/>
            <w14:bevel/>
          </w14:textOutline>
        </w:rPr>
        <w:t xml:space="preserve">pour </w:t>
      </w:r>
      <w:r w:rsidR="001F542C" w:rsidRPr="0056769D">
        <w:rPr>
          <w:rFonts w:ascii="Calibri" w:hAnsi="Calibri" w:cs="Calibri"/>
          <w14:textOutline w14:w="3175" w14:cap="rnd" w14:cmpd="sng" w14:algn="ctr">
            <w14:noFill/>
            <w14:prstDash w14:val="solid"/>
            <w14:bevel/>
          </w14:textOutline>
        </w:rPr>
        <w:t>le développement d’équipements</w:t>
      </w:r>
      <w:r w:rsidR="001F542C">
        <w:rPr>
          <w:rFonts w:ascii="Calibri" w:hAnsi="Calibri" w:cs="Calibri"/>
          <w14:textOutline w14:w="3175" w14:cap="rnd" w14:cmpd="sng" w14:algn="ctr">
            <w14:noFill/>
            <w14:prstDash w14:val="solid"/>
            <w14:bevel/>
          </w14:textOutline>
        </w:rPr>
        <w:t xml:space="preserve"> ou procédés</w:t>
      </w:r>
      <w:r w:rsidR="001F542C" w:rsidRPr="0056769D">
        <w:rPr>
          <w:rFonts w:ascii="Calibri" w:hAnsi="Calibri" w:cs="Calibri"/>
          <w14:textOutline w14:w="3175" w14:cap="rnd" w14:cmpd="sng" w14:algn="ctr">
            <w14:noFill/>
            <w14:prstDash w14:val="solid"/>
            <w14:bevel/>
          </w14:textOutline>
        </w:rPr>
        <w:t xml:space="preserve"> </w:t>
      </w:r>
      <w:r w:rsidR="001F542C">
        <w:rPr>
          <w:rFonts w:ascii="Calibri" w:hAnsi="Calibri" w:cs="Calibri"/>
          <w14:textOutline w14:w="3175" w14:cap="rnd" w14:cmpd="sng" w14:algn="ctr">
            <w14:noFill/>
            <w14:prstDash w14:val="solid"/>
            <w14:bevel/>
          </w14:textOutline>
        </w:rPr>
        <w:t xml:space="preserve">innovants, </w:t>
      </w:r>
      <w:r w:rsidR="001F542C" w:rsidRPr="0056769D">
        <w:rPr>
          <w:rFonts w:ascii="Calibri" w:hAnsi="Calibri" w:cs="Calibri"/>
          <w14:textOutline w14:w="3175" w14:cap="rnd" w14:cmpd="sng" w14:algn="ctr">
            <w14:noFill/>
            <w14:prstDash w14:val="solid"/>
            <w14:bevel/>
          </w14:textOutline>
        </w:rPr>
        <w:t>nouveaux ou</w:t>
      </w:r>
      <w:r w:rsidR="001F542C">
        <w:rPr>
          <w:rFonts w:ascii="Calibri" w:hAnsi="Calibri" w:cs="Calibri"/>
          <w14:textOutline w14:w="3175" w14:cap="rnd" w14:cmpd="sng" w14:algn="ctr">
            <w14:noFill/>
            <w14:prstDash w14:val="solid"/>
            <w14:bevel/>
          </w14:textOutline>
        </w:rPr>
        <w:t xml:space="preserve"> sensiblement</w:t>
      </w:r>
      <w:r w:rsidR="001F542C" w:rsidRPr="0056769D">
        <w:rPr>
          <w:rFonts w:ascii="Calibri" w:hAnsi="Calibri" w:cs="Calibri"/>
          <w14:textOutline w14:w="3175" w14:cap="rnd" w14:cmpd="sng" w14:algn="ctr">
            <w14:noFill/>
            <w14:prstDash w14:val="solid"/>
            <w14:bevel/>
          </w14:textOutline>
        </w:rPr>
        <w:t xml:space="preserve"> améliorés</w:t>
      </w:r>
      <w:r w:rsidR="001F542C">
        <w:rPr>
          <w:rFonts w:ascii="Calibri" w:hAnsi="Calibri" w:cs="Calibri"/>
          <w14:textOutline w14:w="3175" w14:cap="rnd" w14:cmpd="sng" w14:algn="ctr">
            <w14:noFill/>
            <w14:prstDash w14:val="solid"/>
            <w14:bevel/>
          </w14:textOutline>
        </w:rPr>
        <w:t>, dont l’objectif est de</w:t>
      </w:r>
      <w:r w:rsidR="001F542C" w:rsidRPr="0056769D">
        <w:rPr>
          <w:rFonts w:ascii="Calibri" w:hAnsi="Calibri" w:cs="Calibri"/>
          <w14:textOutline w14:w="3175" w14:cap="rnd" w14:cmpd="sng" w14:algn="ctr">
            <w14:noFill/>
            <w14:prstDash w14:val="solid"/>
            <w14:bevel/>
          </w14:textOutline>
        </w:rPr>
        <w:t xml:space="preserve"> </w:t>
      </w:r>
      <w:r w:rsidR="001F542C">
        <w:rPr>
          <w:rFonts w:ascii="Calibri" w:hAnsi="Calibri" w:cs="Calibri"/>
          <w14:textOutline w14:w="3175" w14:cap="rnd" w14:cmpd="sng" w14:algn="ctr">
            <w14:noFill/>
            <w14:prstDash w14:val="solid"/>
            <w14:bevel/>
          </w14:textOutline>
        </w:rPr>
        <w:t>l</w:t>
      </w:r>
      <w:r w:rsidR="001F542C">
        <w:rPr>
          <w:rFonts w:ascii="Calibri" w:hAnsi="Calibri" w:cs="Calibri"/>
        </w:rPr>
        <w:t>imiter l’incidence</w:t>
      </w:r>
      <w:r w:rsidR="001F542C" w:rsidRPr="0056769D">
        <w:rPr>
          <w:rFonts w:ascii="Calibri" w:hAnsi="Calibri" w:cs="Calibri"/>
        </w:rPr>
        <w:t xml:space="preserve"> </w:t>
      </w:r>
      <w:r w:rsidR="001F542C">
        <w:rPr>
          <w:rFonts w:ascii="Calibri" w:hAnsi="Calibri" w:cs="Calibri"/>
        </w:rPr>
        <w:t>de l’activité de</w:t>
      </w:r>
      <w:r w:rsidR="001F542C" w:rsidRPr="0056769D">
        <w:rPr>
          <w:rFonts w:ascii="Calibri" w:hAnsi="Calibri" w:cs="Calibri"/>
        </w:rPr>
        <w:t xml:space="preserve"> pêche sur </w:t>
      </w:r>
      <w:r w:rsidR="001F542C">
        <w:rPr>
          <w:rFonts w:ascii="Calibri" w:hAnsi="Calibri" w:cs="Calibri"/>
        </w:rPr>
        <w:t xml:space="preserve">le milieu marin. </w:t>
      </w:r>
      <w:r w:rsidR="0006589F" w:rsidRPr="0006589F">
        <w:t>Le repérage et la récupération de ces engins de pêche perdus au moyen d’une technologie appropriée sont des objectifs essentiels d’aide à une pêche responsable et préservant l’écosystème</w:t>
      </w:r>
    </w:p>
    <w:p w14:paraId="0EA8651A" w14:textId="77777777" w:rsidR="0006589F" w:rsidRPr="0006589F" w:rsidRDefault="0006589F" w:rsidP="0006589F">
      <w:pPr>
        <w:spacing w:after="0" w:line="240" w:lineRule="auto"/>
        <w:jc w:val="both"/>
      </w:pPr>
      <w:r w:rsidRPr="0006589F">
        <w:t>Cette technologie doit :</w:t>
      </w:r>
    </w:p>
    <w:p w14:paraId="6D3B414D" w14:textId="77777777" w:rsidR="0006589F" w:rsidRPr="0006589F" w:rsidRDefault="0006589F" w:rsidP="0006589F">
      <w:pPr>
        <w:spacing w:after="0" w:line="240" w:lineRule="auto"/>
        <w:jc w:val="both"/>
      </w:pPr>
      <w:r w:rsidRPr="0006589F">
        <w:t>– être facile d’utilisation,</w:t>
      </w:r>
    </w:p>
    <w:p w14:paraId="15452348" w14:textId="1E2B2EEA" w:rsidR="0006589F" w:rsidRPr="0006589F" w:rsidRDefault="0006589F" w:rsidP="0006589F">
      <w:pPr>
        <w:spacing w:after="0" w:line="240" w:lineRule="auto"/>
        <w:jc w:val="both"/>
      </w:pPr>
      <w:r w:rsidRPr="0006589F">
        <w:t xml:space="preserve">– applicable à la plupart des techniques de pêche </w:t>
      </w:r>
      <w:r w:rsidRPr="00A87B79">
        <w:t>incriminées</w:t>
      </w:r>
      <w:r w:rsidR="00307385" w:rsidRPr="00A87B79">
        <w:t xml:space="preserve"> (arts dormants</w:t>
      </w:r>
      <w:r w:rsidR="00A87B79" w:rsidRPr="00A87B79">
        <w:t xml:space="preserve"> : </w:t>
      </w:r>
      <w:r w:rsidR="00A87B79" w:rsidRPr="00A87B79">
        <w:rPr>
          <w:rFonts w:eastAsia="Times New Roman"/>
          <w:sz w:val="23"/>
          <w:szCs w:val="23"/>
        </w:rPr>
        <w:t>filets maillants, trémails, palangres</w:t>
      </w:r>
      <w:r w:rsidR="00E867F7">
        <w:rPr>
          <w:rFonts w:eastAsia="Times New Roman"/>
          <w:sz w:val="23"/>
          <w:szCs w:val="23"/>
        </w:rPr>
        <w:t xml:space="preserve"> et nasses</w:t>
      </w:r>
      <w:r w:rsidR="00307385" w:rsidRPr="00A87B79">
        <w:t>)</w:t>
      </w:r>
    </w:p>
    <w:p w14:paraId="0A65FC96" w14:textId="186741D2" w:rsidR="0006589F" w:rsidRPr="0006589F" w:rsidRDefault="0006589F" w:rsidP="0006589F">
      <w:pPr>
        <w:spacing w:after="0" w:line="240" w:lineRule="auto"/>
        <w:jc w:val="both"/>
      </w:pPr>
      <w:r w:rsidRPr="0006589F">
        <w:t>– offrir une solution pérenne et être répétable</w:t>
      </w:r>
    </w:p>
    <w:p w14:paraId="27E31AFC" w14:textId="77777777" w:rsidR="0006589F" w:rsidRDefault="0006589F" w:rsidP="000364C9">
      <w:pPr>
        <w:spacing w:after="0" w:line="240" w:lineRule="auto"/>
        <w:jc w:val="both"/>
      </w:pPr>
    </w:p>
    <w:p w14:paraId="6B33B4B0" w14:textId="77777777" w:rsidR="00385647" w:rsidRDefault="00385647" w:rsidP="000364C9">
      <w:pPr>
        <w:spacing w:after="0" w:line="240" w:lineRule="auto"/>
        <w:jc w:val="both"/>
      </w:pPr>
    </w:p>
    <w:p w14:paraId="6F879F96" w14:textId="77777777" w:rsidR="00385647" w:rsidRPr="0006589F" w:rsidRDefault="00385647" w:rsidP="000364C9">
      <w:pPr>
        <w:spacing w:after="0" w:line="240" w:lineRule="auto"/>
        <w:jc w:val="both"/>
      </w:pPr>
    </w:p>
    <w:p w14:paraId="707BE8BF" w14:textId="3A85AFEF" w:rsidR="000F3C7E" w:rsidRPr="0006589F" w:rsidRDefault="00385647" w:rsidP="000364C9">
      <w:pPr>
        <w:spacing w:after="0" w:line="240" w:lineRule="auto"/>
        <w:jc w:val="both"/>
      </w:pPr>
      <w:r>
        <w:lastRenderedPageBreak/>
        <w:t>En fait, i</w:t>
      </w:r>
      <w:r w:rsidR="00830E98" w:rsidRPr="0006589F">
        <w:t>l s’agit</w:t>
      </w:r>
      <w:r>
        <w:t xml:space="preserve"> </w:t>
      </w:r>
      <w:r w:rsidR="00830E98" w:rsidRPr="0006589F">
        <w:t>d’accélérer la mise sur le marché d’innovations technologiques contribuant de manière significative à la préservation des écosystèmes marins. Le développement expérimental, la création de prototype et l’expérimentation en conditions réelles sont ainsi visés dans cet appel à projet. La diffusion des résultats et l’appropriation des innovations par les professionnels doivent être parties intégrantes du projet.</w:t>
      </w:r>
    </w:p>
    <w:p w14:paraId="32CC30F3" w14:textId="77777777" w:rsidR="00317E0F" w:rsidRDefault="00317E0F" w:rsidP="00CF71C7">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15FBE625" w14:textId="2EE6141E" w:rsidR="00D220B5" w:rsidRDefault="00D220B5" w:rsidP="004708BB">
      <w:pPr>
        <w:spacing w:after="120" w:line="240" w:lineRule="auto"/>
        <w:jc w:val="both"/>
        <w:rPr>
          <w:b/>
          <w:sz w:val="16"/>
          <w:szCs w:val="16"/>
        </w:rPr>
      </w:pPr>
    </w:p>
    <w:p w14:paraId="37E9D7D9" w14:textId="5933140E" w:rsidR="00830E98" w:rsidRDefault="00D209DF" w:rsidP="00830E98">
      <w:pPr>
        <w:spacing w:after="0"/>
        <w:jc w:val="both"/>
        <w:rPr>
          <w:rFonts w:ascii="Calibri" w:hAnsi="Calibri" w:cs="Calibri"/>
        </w:rPr>
      </w:pPr>
      <w:r>
        <w:rPr>
          <w:rFonts w:ascii="Calibri" w:hAnsi="Calibri" w:cs="Calibri"/>
        </w:rPr>
        <w:t>D’une manière générale, l</w:t>
      </w:r>
      <w:r w:rsidR="00830E98">
        <w:rPr>
          <w:rFonts w:ascii="Calibri" w:hAnsi="Calibri" w:cs="Calibri"/>
        </w:rPr>
        <w:t>es actions « Recherche et I</w:t>
      </w:r>
      <w:r w:rsidR="00830E98" w:rsidRPr="00C069B9">
        <w:rPr>
          <w:rFonts w:ascii="Calibri" w:hAnsi="Calibri" w:cs="Calibri"/>
        </w:rPr>
        <w:t>nnovation</w:t>
      </w:r>
      <w:r w:rsidR="00830E98">
        <w:rPr>
          <w:rFonts w:ascii="Calibri" w:hAnsi="Calibri" w:cs="Calibri"/>
        </w:rPr>
        <w:t> » du FEAMPA ont</w:t>
      </w:r>
      <w:r w:rsidR="00830E98" w:rsidRPr="00C069B9">
        <w:rPr>
          <w:rFonts w:ascii="Calibri" w:hAnsi="Calibri" w:cs="Calibri"/>
        </w:rPr>
        <w:t xml:space="preserve"> pour objectif de soutenir des projets collaboratifs permettant de développer des solutions innovantes </w:t>
      </w:r>
      <w:r w:rsidR="00830E98">
        <w:rPr>
          <w:rFonts w:ascii="Calibri" w:hAnsi="Calibri" w:cs="Calibri"/>
        </w:rPr>
        <w:t>répondant aux enjeux des</w:t>
      </w:r>
      <w:r w:rsidR="00830E98" w:rsidRPr="00C069B9">
        <w:rPr>
          <w:rFonts w:ascii="Calibri" w:hAnsi="Calibri" w:cs="Calibri"/>
        </w:rPr>
        <w:t xml:space="preserve"> filière</w:t>
      </w:r>
      <w:r w:rsidR="00830E98">
        <w:rPr>
          <w:rFonts w:ascii="Calibri" w:hAnsi="Calibri" w:cs="Calibri"/>
        </w:rPr>
        <w:t>s</w:t>
      </w:r>
      <w:r w:rsidR="00830E98" w:rsidRPr="00C069B9">
        <w:rPr>
          <w:rFonts w:ascii="Calibri" w:hAnsi="Calibri" w:cs="Calibri"/>
        </w:rPr>
        <w:t xml:space="preserve"> halieutique</w:t>
      </w:r>
      <w:r w:rsidR="00830E98">
        <w:rPr>
          <w:rFonts w:ascii="Calibri" w:hAnsi="Calibri" w:cs="Calibri"/>
        </w:rPr>
        <w:t>s. Les projets doivent répondre aux différents critères d’éligibilité développés ci-dessous</w:t>
      </w:r>
      <w:r w:rsidR="00385647">
        <w:rPr>
          <w:rFonts w:ascii="Calibri" w:hAnsi="Calibri" w:cs="Calibri"/>
        </w:rPr>
        <w:t> :</w:t>
      </w:r>
    </w:p>
    <w:p w14:paraId="1C151825" w14:textId="77777777" w:rsidR="005464B6" w:rsidRDefault="005464B6" w:rsidP="00830E98">
      <w:pPr>
        <w:spacing w:after="0"/>
        <w:jc w:val="both"/>
        <w:rPr>
          <w:rFonts w:ascii="Calibri" w:hAnsi="Calibri" w:cs="Calibri"/>
        </w:rPr>
      </w:pPr>
    </w:p>
    <w:p w14:paraId="27FC2367" w14:textId="77777777" w:rsidR="00830E98" w:rsidRPr="00F92194" w:rsidRDefault="00830E98" w:rsidP="00830E98">
      <w:pPr>
        <w:pStyle w:val="Titre2"/>
        <w:numPr>
          <w:ilvl w:val="0"/>
          <w:numId w:val="18"/>
        </w:numPr>
        <w:rPr>
          <w:rFonts w:asciiTheme="minorHAnsi" w:hAnsiTheme="minorHAnsi" w:cstheme="minorHAnsi"/>
          <w:color w:val="auto"/>
          <w:sz w:val="22"/>
          <w:u w:val="single"/>
        </w:rPr>
      </w:pPr>
      <w:bookmarkStart w:id="5" w:name="_Toc135040501"/>
      <w:r w:rsidRPr="00F92194">
        <w:rPr>
          <w:rFonts w:asciiTheme="minorHAnsi" w:hAnsiTheme="minorHAnsi" w:cstheme="minorHAnsi"/>
          <w:color w:val="auto"/>
          <w:sz w:val="22"/>
          <w:u w:val="single"/>
        </w:rPr>
        <w:t>Collaboration effective</w:t>
      </w:r>
      <w:bookmarkEnd w:id="5"/>
    </w:p>
    <w:p w14:paraId="0EE6EBBB" w14:textId="77777777" w:rsidR="00830E98" w:rsidRPr="00F92194" w:rsidRDefault="00830E98" w:rsidP="00830E98">
      <w:pPr>
        <w:autoSpaceDE w:val="0"/>
        <w:autoSpaceDN w:val="0"/>
        <w:adjustRightInd w:val="0"/>
        <w:spacing w:after="0" w:line="240" w:lineRule="auto"/>
        <w:jc w:val="both"/>
        <w:rPr>
          <w:rFonts w:cstheme="minorHAnsi"/>
          <w:color w:val="000000"/>
        </w:rPr>
      </w:pPr>
    </w:p>
    <w:p w14:paraId="4BEE1915" w14:textId="77777777" w:rsidR="00830E98" w:rsidRPr="00F92194" w:rsidRDefault="00830E98" w:rsidP="00830E98">
      <w:pPr>
        <w:autoSpaceDE w:val="0"/>
        <w:autoSpaceDN w:val="0"/>
        <w:adjustRightInd w:val="0"/>
        <w:spacing w:after="0" w:line="240" w:lineRule="auto"/>
        <w:jc w:val="both"/>
        <w:rPr>
          <w:rFonts w:cstheme="minorHAnsi"/>
          <w:color w:val="000000"/>
        </w:rPr>
      </w:pPr>
      <w:r w:rsidRPr="00F92194">
        <w:rPr>
          <w:rFonts w:cstheme="minorHAnsi"/>
          <w:color w:val="000000"/>
        </w:rPr>
        <w:t xml:space="preserve">Le projet doit être mené en collaboration avec </w:t>
      </w:r>
      <w:r w:rsidRPr="00F92194">
        <w:rPr>
          <w:rFonts w:cstheme="minorHAnsi"/>
          <w:i/>
          <w:color w:val="000000"/>
        </w:rPr>
        <w:t>a minima</w:t>
      </w:r>
      <w:r w:rsidRPr="00F92194">
        <w:rPr>
          <w:rFonts w:cstheme="minorHAnsi"/>
          <w:color w:val="000000"/>
        </w:rPr>
        <w:t xml:space="preserve"> : </w:t>
      </w:r>
    </w:p>
    <w:p w14:paraId="084524A8" w14:textId="77777777" w:rsidR="00830E98" w:rsidRPr="00F92194" w:rsidRDefault="00830E98" w:rsidP="00830E98">
      <w:pPr>
        <w:pStyle w:val="Paragraphedeliste"/>
        <w:numPr>
          <w:ilvl w:val="0"/>
          <w:numId w:val="17"/>
        </w:numPr>
        <w:autoSpaceDE w:val="0"/>
        <w:autoSpaceDN w:val="0"/>
        <w:adjustRightInd w:val="0"/>
        <w:spacing w:after="0" w:line="240" w:lineRule="auto"/>
        <w:jc w:val="both"/>
        <w:rPr>
          <w:rFonts w:cstheme="minorHAnsi"/>
          <w:color w:val="000000"/>
        </w:rPr>
      </w:pPr>
      <w:r w:rsidRPr="00F92194">
        <w:rPr>
          <w:rFonts w:cstheme="minorHAnsi"/>
          <w:color w:val="000000"/>
        </w:rPr>
        <w:t>Un organisme scientifique ou technique.</w:t>
      </w:r>
    </w:p>
    <w:p w14:paraId="5F9BF554" w14:textId="77777777" w:rsidR="00830E98" w:rsidRPr="00F92194" w:rsidRDefault="00830E98" w:rsidP="00830E98">
      <w:pPr>
        <w:pStyle w:val="Paragraphedeliste"/>
        <w:numPr>
          <w:ilvl w:val="0"/>
          <w:numId w:val="17"/>
        </w:numPr>
        <w:autoSpaceDE w:val="0"/>
        <w:autoSpaceDN w:val="0"/>
        <w:adjustRightInd w:val="0"/>
        <w:spacing w:after="0" w:line="240" w:lineRule="auto"/>
        <w:jc w:val="both"/>
        <w:rPr>
          <w:rFonts w:cstheme="minorHAnsi"/>
          <w:color w:val="000000"/>
        </w:rPr>
      </w:pPr>
      <w:r w:rsidRPr="00F92194">
        <w:rPr>
          <w:rFonts w:cstheme="minorHAnsi"/>
          <w:color w:val="000000"/>
        </w:rPr>
        <w:t>Un acteur professionnel (opérateur de la filière pêche) ou une entité de représentation professionnelle.</w:t>
      </w:r>
    </w:p>
    <w:p w14:paraId="7D1F8F79" w14:textId="77777777" w:rsidR="00830E98" w:rsidRPr="00F92194" w:rsidRDefault="00830E98" w:rsidP="00830E98">
      <w:pPr>
        <w:autoSpaceDE w:val="0"/>
        <w:autoSpaceDN w:val="0"/>
        <w:adjustRightInd w:val="0"/>
        <w:spacing w:after="0" w:line="240" w:lineRule="auto"/>
        <w:jc w:val="both"/>
        <w:rPr>
          <w:rFonts w:cstheme="minorHAnsi"/>
          <w:color w:val="000000"/>
        </w:rPr>
      </w:pPr>
    </w:p>
    <w:p w14:paraId="3ED00DBE" w14:textId="77777777" w:rsidR="00830E98" w:rsidRPr="00F92194" w:rsidRDefault="00830E98" w:rsidP="00830E98">
      <w:pPr>
        <w:jc w:val="both"/>
        <w:rPr>
          <w:rFonts w:cstheme="minorHAnsi"/>
          <w:color w:val="000000"/>
        </w:rPr>
      </w:pPr>
      <w:r w:rsidRPr="00F92194">
        <w:rPr>
          <w:rFonts w:cstheme="minorHAnsi"/>
          <w:color w:val="000000"/>
        </w:rPr>
        <w:t xml:space="preserve">La collaboration est définie par l'existence d'une convention de partenariat entre les différents partenaires du projet. La forme de la convention de partenariat est libre, néanmoins celle-ci doit comporter les éléments suivants : </w:t>
      </w:r>
    </w:p>
    <w:p w14:paraId="4EAC045E" w14:textId="77777777" w:rsidR="00830E98" w:rsidRPr="00F92194" w:rsidRDefault="00830E98" w:rsidP="00830E98">
      <w:pPr>
        <w:pStyle w:val="Paragraphedeliste"/>
        <w:numPr>
          <w:ilvl w:val="0"/>
          <w:numId w:val="19"/>
        </w:numPr>
        <w:jc w:val="both"/>
        <w:rPr>
          <w:rFonts w:cstheme="minorHAnsi"/>
        </w:rPr>
      </w:pPr>
      <w:r w:rsidRPr="00F92194">
        <w:rPr>
          <w:rFonts w:cstheme="minorHAnsi"/>
        </w:rPr>
        <w:t>Les obligations respectives des signataires,</w:t>
      </w:r>
    </w:p>
    <w:p w14:paraId="38307BE4" w14:textId="77777777" w:rsidR="00830E98" w:rsidRPr="00F92194" w:rsidRDefault="00830E98" w:rsidP="00830E98">
      <w:pPr>
        <w:pStyle w:val="Paragraphedeliste"/>
        <w:numPr>
          <w:ilvl w:val="0"/>
          <w:numId w:val="19"/>
        </w:numPr>
        <w:jc w:val="both"/>
        <w:rPr>
          <w:rFonts w:cstheme="minorHAnsi"/>
        </w:rPr>
      </w:pPr>
      <w:r w:rsidRPr="00F92194">
        <w:rPr>
          <w:rFonts w:cstheme="minorHAnsi"/>
        </w:rPr>
        <w:t>Les modalités de reversement de l’aide FEAMPA du chef de file aux partenaires,</w:t>
      </w:r>
    </w:p>
    <w:p w14:paraId="370DA954" w14:textId="77777777" w:rsidR="00830E98" w:rsidRPr="00F92194" w:rsidRDefault="00830E98" w:rsidP="00830E98">
      <w:pPr>
        <w:pStyle w:val="Paragraphedeliste"/>
        <w:numPr>
          <w:ilvl w:val="0"/>
          <w:numId w:val="19"/>
        </w:numPr>
        <w:jc w:val="both"/>
        <w:rPr>
          <w:rFonts w:cstheme="minorHAnsi"/>
        </w:rPr>
      </w:pPr>
      <w:r w:rsidRPr="00F92194">
        <w:rPr>
          <w:rFonts w:cstheme="minorHAnsi"/>
        </w:rPr>
        <w:t>Les modalités de traitement des litiges,</w:t>
      </w:r>
    </w:p>
    <w:p w14:paraId="2225CAA4" w14:textId="77777777" w:rsidR="00830E98" w:rsidRPr="00F92194" w:rsidRDefault="00830E98" w:rsidP="00830E98">
      <w:pPr>
        <w:pStyle w:val="Paragraphedeliste"/>
        <w:numPr>
          <w:ilvl w:val="0"/>
          <w:numId w:val="19"/>
        </w:numPr>
        <w:jc w:val="both"/>
        <w:rPr>
          <w:rFonts w:cstheme="minorHAnsi"/>
        </w:rPr>
      </w:pPr>
      <w:r w:rsidRPr="00F92194">
        <w:rPr>
          <w:rFonts w:cstheme="minorHAnsi"/>
        </w:rPr>
        <w:t>Les annexes financières de l’opération,</w:t>
      </w:r>
    </w:p>
    <w:p w14:paraId="1EDBC83A" w14:textId="77777777" w:rsidR="00830E98" w:rsidRPr="00F92194" w:rsidRDefault="00830E98" w:rsidP="00830E98">
      <w:pPr>
        <w:pStyle w:val="Paragraphedeliste"/>
        <w:numPr>
          <w:ilvl w:val="0"/>
          <w:numId w:val="19"/>
        </w:numPr>
        <w:jc w:val="both"/>
        <w:rPr>
          <w:rFonts w:cstheme="minorHAnsi"/>
        </w:rPr>
      </w:pPr>
      <w:r w:rsidRPr="00F92194">
        <w:rPr>
          <w:rFonts w:cstheme="minorHAnsi"/>
        </w:rPr>
        <w:t>Les engagements et les responsabilités de chaque partenaire,</w:t>
      </w:r>
    </w:p>
    <w:p w14:paraId="709D19F5" w14:textId="77777777" w:rsidR="00830E98" w:rsidRPr="00F92194" w:rsidRDefault="00830E98" w:rsidP="00830E98">
      <w:pPr>
        <w:pStyle w:val="Paragraphedeliste"/>
        <w:numPr>
          <w:ilvl w:val="0"/>
          <w:numId w:val="19"/>
        </w:numPr>
        <w:jc w:val="both"/>
        <w:rPr>
          <w:rFonts w:cstheme="minorHAnsi"/>
        </w:rPr>
      </w:pPr>
      <w:r w:rsidRPr="00F92194">
        <w:rPr>
          <w:rFonts w:cstheme="minorHAnsi"/>
        </w:rPr>
        <w:t>La durée de l’opération.</w:t>
      </w:r>
    </w:p>
    <w:p w14:paraId="55F9B162" w14:textId="7BB91CD1" w:rsidR="00830E98" w:rsidRPr="00F92194" w:rsidRDefault="00830E98" w:rsidP="00830E98">
      <w:pPr>
        <w:spacing w:after="0"/>
        <w:jc w:val="both"/>
        <w:rPr>
          <w:rFonts w:cstheme="minorHAnsi"/>
        </w:rPr>
      </w:pPr>
      <w:r w:rsidRPr="00F92194">
        <w:rPr>
          <w:rFonts w:cstheme="minorHAnsi"/>
        </w:rPr>
        <w:t xml:space="preserve">Un modèle de convention de partenariat est </w:t>
      </w:r>
      <w:r w:rsidR="00A80D30">
        <w:rPr>
          <w:rFonts w:cstheme="minorHAnsi"/>
        </w:rPr>
        <w:t xml:space="preserve">disponible en pièces jointes à cet appel à projet. </w:t>
      </w:r>
    </w:p>
    <w:p w14:paraId="6716CD4C" w14:textId="77777777" w:rsidR="00830E98" w:rsidRPr="00F92194" w:rsidRDefault="00830E98" w:rsidP="00830E98">
      <w:pPr>
        <w:spacing w:after="0"/>
        <w:jc w:val="both"/>
        <w:rPr>
          <w:rFonts w:cstheme="minorHAnsi"/>
        </w:rPr>
      </w:pPr>
    </w:p>
    <w:p w14:paraId="4B9E9D43" w14:textId="3553881F" w:rsidR="00830E98" w:rsidRDefault="00830E98" w:rsidP="00830E98">
      <w:pPr>
        <w:spacing w:after="120" w:line="240" w:lineRule="auto"/>
        <w:jc w:val="both"/>
        <w:rPr>
          <w:rFonts w:cstheme="minorHAnsi"/>
        </w:rPr>
      </w:pPr>
      <w:r w:rsidRPr="00F92194">
        <w:rPr>
          <w:rFonts w:cstheme="minorHAnsi"/>
        </w:rPr>
        <w:t>Les partenaires désignent en leur sein un partenaire « chef de file », qui coordonnera la mise en œuvre de l’opération collaborative. Le partenaire « chef de file » est le responsable administratif et l’interlocuteur unique de la Région Bretagne pour le dépôt des dossiers, la coordination et le suivi de l’exécution du projet. L’aide est versée en totalité au partenaire chef de file qui reverse à chaque partenaire sa quote-part en fonction de son implication dans le projet.</w:t>
      </w:r>
    </w:p>
    <w:p w14:paraId="3E803F26" w14:textId="77777777" w:rsidR="00A80D30" w:rsidRPr="00F92194" w:rsidRDefault="00A80D30" w:rsidP="00830E98">
      <w:pPr>
        <w:spacing w:after="120" w:line="240" w:lineRule="auto"/>
        <w:jc w:val="both"/>
        <w:rPr>
          <w:rFonts w:cstheme="minorHAnsi"/>
        </w:rPr>
      </w:pPr>
    </w:p>
    <w:p w14:paraId="0AB9A854" w14:textId="77777777" w:rsidR="00830E98" w:rsidRPr="00F92194" w:rsidRDefault="00830E98" w:rsidP="00830E98">
      <w:pPr>
        <w:pStyle w:val="Titre2"/>
        <w:numPr>
          <w:ilvl w:val="0"/>
          <w:numId w:val="18"/>
        </w:numPr>
        <w:rPr>
          <w:rFonts w:asciiTheme="minorHAnsi" w:hAnsiTheme="minorHAnsi" w:cstheme="minorHAnsi"/>
          <w:color w:val="auto"/>
          <w:sz w:val="22"/>
          <w:u w:val="single"/>
        </w:rPr>
      </w:pPr>
      <w:bookmarkStart w:id="6" w:name="_Toc135040502"/>
      <w:r w:rsidRPr="00F92194">
        <w:rPr>
          <w:rFonts w:asciiTheme="minorHAnsi" w:hAnsiTheme="minorHAnsi" w:cstheme="minorHAnsi"/>
          <w:color w:val="auto"/>
          <w:sz w:val="22"/>
          <w:u w:val="single"/>
        </w:rPr>
        <w:t>Eligibilité géographique</w:t>
      </w:r>
      <w:bookmarkEnd w:id="6"/>
    </w:p>
    <w:p w14:paraId="0F7B578A" w14:textId="77777777" w:rsidR="00830E98" w:rsidRDefault="00830E98" w:rsidP="00830E98">
      <w:pPr>
        <w:autoSpaceDE w:val="0"/>
        <w:autoSpaceDN w:val="0"/>
        <w:adjustRightInd w:val="0"/>
        <w:spacing w:after="0" w:line="240" w:lineRule="auto"/>
        <w:jc w:val="both"/>
      </w:pPr>
    </w:p>
    <w:p w14:paraId="09DA0561" w14:textId="605E1C81" w:rsidR="00830E98" w:rsidRDefault="00941A13" w:rsidP="00830E98">
      <w:pPr>
        <w:autoSpaceDE w:val="0"/>
        <w:autoSpaceDN w:val="0"/>
        <w:adjustRightInd w:val="0"/>
        <w:spacing w:after="0" w:line="240" w:lineRule="auto"/>
        <w:jc w:val="both"/>
        <w:rPr>
          <w:rFonts w:ascii="Calibri" w:hAnsi="Calibri" w:cs="Calibri"/>
          <w:color w:val="000000"/>
        </w:rPr>
      </w:pPr>
      <w:r>
        <w:t xml:space="preserve">L’appel à projets couvre le </w:t>
      </w:r>
      <w:r w:rsidR="00830E98">
        <w:t xml:space="preserve">territoire </w:t>
      </w:r>
      <w:r w:rsidR="0042238A">
        <w:t>de la Région Provence-Alpes-Côte d’Azur</w:t>
      </w:r>
      <w:r w:rsidR="00830E98">
        <w:t>.</w:t>
      </w:r>
    </w:p>
    <w:p w14:paraId="0C0D0F37" w14:textId="77777777" w:rsidR="00830E98" w:rsidRDefault="00830E98" w:rsidP="00830E98">
      <w:pPr>
        <w:autoSpaceDE w:val="0"/>
        <w:autoSpaceDN w:val="0"/>
        <w:adjustRightInd w:val="0"/>
        <w:spacing w:after="0" w:line="240" w:lineRule="auto"/>
        <w:jc w:val="both"/>
        <w:rPr>
          <w:rFonts w:ascii="Calibri" w:hAnsi="Calibri" w:cs="Calibri"/>
          <w:color w:val="000000"/>
        </w:rPr>
      </w:pPr>
    </w:p>
    <w:p w14:paraId="7674D559" w14:textId="2F2D59F3" w:rsidR="00830E98" w:rsidRPr="00A80D30" w:rsidRDefault="00830E98" w:rsidP="004D4816">
      <w:pPr>
        <w:autoSpaceDE w:val="0"/>
        <w:autoSpaceDN w:val="0"/>
        <w:adjustRightInd w:val="0"/>
        <w:spacing w:after="0" w:line="240" w:lineRule="auto"/>
        <w:jc w:val="both"/>
        <w:rPr>
          <w:rFonts w:ascii="Calibri" w:hAnsi="Calibri" w:cs="Calibri"/>
          <w:color w:val="000000"/>
        </w:rPr>
      </w:pPr>
      <w:r w:rsidRPr="00A80D30">
        <w:rPr>
          <w:rFonts w:ascii="Calibri" w:hAnsi="Calibri" w:cs="Calibri"/>
          <w:color w:val="000000"/>
        </w:rPr>
        <w:t xml:space="preserve">Les projets déposés </w:t>
      </w:r>
      <w:r w:rsidR="004D4816">
        <w:rPr>
          <w:rFonts w:ascii="Calibri" w:hAnsi="Calibri" w:cs="Calibri"/>
          <w:color w:val="000000"/>
        </w:rPr>
        <w:t xml:space="preserve">impliquent </w:t>
      </w:r>
      <w:r w:rsidRPr="00A80D30">
        <w:rPr>
          <w:rFonts w:ascii="Calibri" w:hAnsi="Calibri" w:cs="Calibri"/>
          <w:color w:val="000000"/>
        </w:rPr>
        <w:t xml:space="preserve">un consortium (le chef de file et ses partenaires) implanté </w:t>
      </w:r>
      <w:r w:rsidR="00A80D30" w:rsidRPr="00A80D30">
        <w:rPr>
          <w:rFonts w:ascii="Calibri" w:hAnsi="Calibri" w:cs="Calibri"/>
          <w:color w:val="000000"/>
        </w:rPr>
        <w:t>en région Provence-Alpes-Côte d’Azur</w:t>
      </w:r>
      <w:r w:rsidRPr="00A80D30">
        <w:rPr>
          <w:rFonts w:ascii="Calibri" w:hAnsi="Calibri" w:cs="Calibri"/>
          <w:color w:val="000000"/>
        </w:rPr>
        <w:t>.</w:t>
      </w:r>
      <w:r w:rsidR="00310EF6">
        <w:rPr>
          <w:rFonts w:ascii="Calibri" w:hAnsi="Calibri" w:cs="Calibri"/>
          <w:color w:val="000000"/>
        </w:rPr>
        <w:t xml:space="preserve"> Si un ou plusieurs partenaires devaient avoir leur siège social hors de la Région Provence-Alpes-Côte d’Azur, ils ne devront pas être majoritaires au sein du consortium.</w:t>
      </w:r>
    </w:p>
    <w:p w14:paraId="7B29AF70" w14:textId="77777777" w:rsidR="00830E98" w:rsidRPr="00C069B9" w:rsidRDefault="00830E98" w:rsidP="00830E98">
      <w:pPr>
        <w:autoSpaceDE w:val="0"/>
        <w:autoSpaceDN w:val="0"/>
        <w:adjustRightInd w:val="0"/>
        <w:spacing w:after="0" w:line="240" w:lineRule="auto"/>
        <w:rPr>
          <w:rFonts w:ascii="Calibri" w:hAnsi="Calibri" w:cs="Calibri"/>
          <w:color w:val="000000"/>
        </w:rPr>
      </w:pPr>
    </w:p>
    <w:p w14:paraId="093C627D" w14:textId="00014A46" w:rsidR="00830E98" w:rsidRPr="00C069B9" w:rsidRDefault="00830E98" w:rsidP="00830E98">
      <w:pPr>
        <w:spacing w:after="0"/>
        <w:jc w:val="both"/>
        <w:rPr>
          <w:rFonts w:ascii="Calibri" w:hAnsi="Calibri" w:cs="Calibri"/>
        </w:rPr>
      </w:pPr>
      <w:r w:rsidRPr="00C069B9">
        <w:rPr>
          <w:rFonts w:ascii="Calibri" w:hAnsi="Calibri" w:cs="Calibri"/>
          <w:color w:val="000000"/>
        </w:rPr>
        <w:t xml:space="preserve">Les prestataires ne sont pas considérés comme des partenaires. Il s’agit d’une externalisation. </w:t>
      </w:r>
    </w:p>
    <w:p w14:paraId="6C9B0031" w14:textId="77777777" w:rsidR="00830E98" w:rsidRDefault="00830E98" w:rsidP="00830E98">
      <w:pPr>
        <w:spacing w:after="0"/>
        <w:rPr>
          <w:rFonts w:ascii="Calibri" w:hAnsi="Calibri" w:cs="Calibri"/>
        </w:rPr>
      </w:pPr>
    </w:p>
    <w:p w14:paraId="11634D24" w14:textId="77777777" w:rsidR="00830E98" w:rsidRPr="00F92194" w:rsidRDefault="00830E98" w:rsidP="00830E98">
      <w:pPr>
        <w:pStyle w:val="Titre2"/>
        <w:numPr>
          <w:ilvl w:val="0"/>
          <w:numId w:val="18"/>
        </w:numPr>
        <w:rPr>
          <w:rFonts w:asciiTheme="minorHAnsi" w:hAnsiTheme="minorHAnsi" w:cstheme="minorHAnsi"/>
          <w:color w:val="auto"/>
          <w:sz w:val="22"/>
          <w:u w:val="single"/>
        </w:rPr>
      </w:pPr>
      <w:bookmarkStart w:id="7" w:name="_Toc135040503"/>
      <w:r w:rsidRPr="00F92194">
        <w:rPr>
          <w:rFonts w:asciiTheme="minorHAnsi" w:hAnsiTheme="minorHAnsi" w:cstheme="minorHAnsi"/>
          <w:color w:val="auto"/>
          <w:sz w:val="22"/>
          <w:u w:val="single"/>
        </w:rPr>
        <w:t>Eligibilité temporelle</w:t>
      </w:r>
      <w:bookmarkEnd w:id="7"/>
    </w:p>
    <w:p w14:paraId="299322F0" w14:textId="77777777" w:rsidR="00830E98" w:rsidRPr="00F92194" w:rsidRDefault="00830E98" w:rsidP="00830E98">
      <w:pPr>
        <w:spacing w:after="0"/>
        <w:jc w:val="both"/>
        <w:rPr>
          <w:rFonts w:cstheme="minorHAnsi"/>
        </w:rPr>
      </w:pPr>
    </w:p>
    <w:p w14:paraId="0CB02842" w14:textId="6D836788" w:rsidR="00830E98" w:rsidRPr="001847D5" w:rsidRDefault="00830E98" w:rsidP="00830E98">
      <w:pPr>
        <w:jc w:val="both"/>
        <w:rPr>
          <w:rFonts w:cstheme="minorHAnsi"/>
          <w:color w:val="000000"/>
        </w:rPr>
      </w:pPr>
      <w:r w:rsidRPr="001847D5">
        <w:rPr>
          <w:rFonts w:cstheme="minorHAnsi"/>
          <w:color w:val="000000"/>
        </w:rPr>
        <w:t xml:space="preserve">La durée du projet doit être inférieure ou égale à 3 ans avec une mise sur le marché prévisionnelle, à destination des opérateurs des filières halieutiques, dans les </w:t>
      </w:r>
      <w:r w:rsidR="005350D0" w:rsidRPr="001847D5">
        <w:rPr>
          <w:rFonts w:cstheme="minorHAnsi"/>
          <w:color w:val="000000"/>
        </w:rPr>
        <w:t>trois</w:t>
      </w:r>
      <w:r w:rsidRPr="001847D5">
        <w:rPr>
          <w:rFonts w:cstheme="minorHAnsi"/>
          <w:color w:val="000000"/>
        </w:rPr>
        <w:t xml:space="preserve"> ans après son achèvement. </w:t>
      </w:r>
    </w:p>
    <w:p w14:paraId="5D052200" w14:textId="77777777" w:rsidR="00830E98" w:rsidRPr="00F92194" w:rsidRDefault="00830E98" w:rsidP="00830E98">
      <w:pPr>
        <w:pStyle w:val="Paragraphedeliste"/>
        <w:numPr>
          <w:ilvl w:val="0"/>
          <w:numId w:val="21"/>
        </w:numPr>
        <w:autoSpaceDE w:val="0"/>
        <w:autoSpaceDN w:val="0"/>
        <w:adjustRightInd w:val="0"/>
        <w:spacing w:after="0" w:line="240" w:lineRule="auto"/>
        <w:jc w:val="both"/>
        <w:rPr>
          <w:rFonts w:cstheme="minorHAnsi"/>
          <w:b/>
          <w:sz w:val="24"/>
        </w:rPr>
      </w:pPr>
      <w:r w:rsidRPr="00F92194">
        <w:rPr>
          <w:rFonts w:cstheme="minorHAnsi"/>
          <w:b/>
          <w:sz w:val="24"/>
        </w:rPr>
        <w:t xml:space="preserve">Le projet ne doit pas avoir démarré au moment du dépôt de la demande d’aide. </w:t>
      </w:r>
    </w:p>
    <w:p w14:paraId="28F6326B" w14:textId="77777777" w:rsidR="00830E98" w:rsidRPr="00F92194" w:rsidRDefault="00830E98" w:rsidP="00830E98">
      <w:pPr>
        <w:autoSpaceDE w:val="0"/>
        <w:autoSpaceDN w:val="0"/>
        <w:adjustRightInd w:val="0"/>
        <w:spacing w:after="0" w:line="240" w:lineRule="auto"/>
        <w:jc w:val="both"/>
        <w:rPr>
          <w:rFonts w:cstheme="minorHAnsi"/>
        </w:rPr>
      </w:pPr>
    </w:p>
    <w:p w14:paraId="07F8F33D" w14:textId="28D333AB" w:rsidR="00830E98" w:rsidRPr="00F92194" w:rsidRDefault="00830E98" w:rsidP="00830E98">
      <w:pPr>
        <w:autoSpaceDE w:val="0"/>
        <w:autoSpaceDN w:val="0"/>
        <w:adjustRightInd w:val="0"/>
        <w:spacing w:after="0" w:line="240" w:lineRule="auto"/>
        <w:jc w:val="both"/>
        <w:rPr>
          <w:rFonts w:cstheme="minorHAnsi"/>
        </w:rPr>
      </w:pPr>
      <w:r w:rsidRPr="00F92194">
        <w:rPr>
          <w:rFonts w:cstheme="minorHAnsi"/>
        </w:rPr>
        <w:lastRenderedPageBreak/>
        <w:t xml:space="preserve">Le caractère incitatif de l’aide versée dans le cadre de cet appel à projet doit être caractérisé et impose au bénéficiaire de déposer son dossier de candidature concerné </w:t>
      </w:r>
      <w:r w:rsidRPr="00F92194">
        <w:rPr>
          <w:rFonts w:cstheme="minorHAnsi"/>
          <w:u w:val="single"/>
        </w:rPr>
        <w:t>avant le début des travaux</w:t>
      </w:r>
      <w:r w:rsidRPr="00941A13">
        <w:rPr>
          <w:rStyle w:val="Appelnotedebasdep"/>
          <w:rFonts w:cstheme="minorHAnsi"/>
          <w:color w:val="FF0000"/>
          <w:u w:val="single"/>
        </w:rPr>
        <w:footnoteReference w:id="1"/>
      </w:r>
      <w:r w:rsidRPr="00941A13">
        <w:rPr>
          <w:rFonts w:cstheme="minorHAnsi"/>
          <w:color w:val="FF0000"/>
          <w:u w:val="single"/>
        </w:rPr>
        <w:t xml:space="preserve"> </w:t>
      </w:r>
      <w:r w:rsidRPr="00F92194">
        <w:rPr>
          <w:rFonts w:cstheme="minorHAnsi"/>
          <w:u w:val="single"/>
        </w:rPr>
        <w:t xml:space="preserve">et </w:t>
      </w:r>
      <w:r w:rsidR="0085525C" w:rsidRPr="00F92194">
        <w:rPr>
          <w:rFonts w:cstheme="minorHAnsi"/>
          <w:u w:val="single"/>
        </w:rPr>
        <w:t>actions</w:t>
      </w:r>
      <w:r w:rsidR="0085525C" w:rsidRPr="00F92194">
        <w:rPr>
          <w:rFonts w:cstheme="minorHAnsi"/>
        </w:rPr>
        <w:t xml:space="preserve"> liées</w:t>
      </w:r>
      <w:r w:rsidRPr="00F92194">
        <w:rPr>
          <w:rFonts w:cstheme="minorHAnsi"/>
        </w:rPr>
        <w:t xml:space="preserve"> au projet (les devis réalisés dans le cadre du projet ne doivent pas être engagés et signés au moment du dépôt du dossier). </w:t>
      </w:r>
    </w:p>
    <w:p w14:paraId="74981FC2" w14:textId="77777777" w:rsidR="00830E98" w:rsidRPr="00F92194" w:rsidRDefault="00830E98" w:rsidP="00830E98">
      <w:pPr>
        <w:spacing w:after="0"/>
        <w:rPr>
          <w:rFonts w:cstheme="minorHAnsi"/>
        </w:rPr>
      </w:pPr>
    </w:p>
    <w:p w14:paraId="49E97E75" w14:textId="0061F97A" w:rsidR="00FA0927" w:rsidRPr="00F92194" w:rsidRDefault="00FA0927" w:rsidP="00F92194">
      <w:pPr>
        <w:pStyle w:val="Paragraphedeliste"/>
        <w:numPr>
          <w:ilvl w:val="0"/>
          <w:numId w:val="18"/>
        </w:numPr>
        <w:spacing w:after="120" w:line="240" w:lineRule="auto"/>
        <w:jc w:val="both"/>
        <w:rPr>
          <w:rFonts w:cstheme="minorHAnsi"/>
          <w:bCs/>
          <w:u w:val="single"/>
        </w:rPr>
      </w:pPr>
      <w:r w:rsidRPr="00F92194">
        <w:rPr>
          <w:rFonts w:cstheme="minorHAnsi"/>
          <w:bCs/>
          <w:u w:val="single"/>
        </w:rPr>
        <w:t>Bénéficiaires</w:t>
      </w:r>
    </w:p>
    <w:p w14:paraId="7BBC3E18" w14:textId="77777777" w:rsidR="00830E98" w:rsidRDefault="00830E98" w:rsidP="00830E98">
      <w:pPr>
        <w:autoSpaceDE w:val="0"/>
        <w:autoSpaceDN w:val="0"/>
        <w:adjustRightInd w:val="0"/>
        <w:spacing w:after="0" w:line="240" w:lineRule="auto"/>
        <w:jc w:val="both"/>
        <w:rPr>
          <w:rFonts w:cstheme="minorHAnsi"/>
          <w:color w:val="000000"/>
        </w:rPr>
      </w:pPr>
      <w:r w:rsidRPr="001D3D82">
        <w:rPr>
          <w:rFonts w:cstheme="minorHAnsi"/>
          <w:color w:val="000000"/>
        </w:rPr>
        <w:t xml:space="preserve">Les bénéficiaires éligibles sont les structures suivantes : </w:t>
      </w:r>
    </w:p>
    <w:p w14:paraId="7FA72057" w14:textId="77777777" w:rsidR="00830E98" w:rsidRPr="001847D5" w:rsidRDefault="00830E98" w:rsidP="00830E98">
      <w:pPr>
        <w:autoSpaceDE w:val="0"/>
        <w:autoSpaceDN w:val="0"/>
        <w:adjustRightInd w:val="0"/>
        <w:spacing w:after="0" w:line="240" w:lineRule="auto"/>
        <w:jc w:val="both"/>
        <w:rPr>
          <w:rFonts w:cstheme="minorHAnsi"/>
        </w:rPr>
      </w:pPr>
    </w:p>
    <w:p w14:paraId="4990B319" w14:textId="77777777" w:rsidR="00830E98" w:rsidRPr="001847D5" w:rsidRDefault="00830E98" w:rsidP="00830E98">
      <w:pPr>
        <w:pStyle w:val="Paragraphedeliste"/>
        <w:numPr>
          <w:ilvl w:val="0"/>
          <w:numId w:val="22"/>
        </w:numPr>
        <w:spacing w:after="0" w:line="240" w:lineRule="auto"/>
        <w:ind w:right="-2"/>
        <w:jc w:val="both"/>
        <w:rPr>
          <w:rFonts w:cstheme="minorHAnsi"/>
        </w:rPr>
      </w:pPr>
      <w:r w:rsidRPr="001847D5">
        <w:rPr>
          <w:rFonts w:cstheme="minorHAnsi"/>
        </w:rPr>
        <w:t>Les organisations professionnelles ou interprofessionnelles de la pêche (liste non exhaustive en annexe 2) ;</w:t>
      </w:r>
    </w:p>
    <w:p w14:paraId="4F33ABE9" w14:textId="77777777" w:rsidR="00830E98" w:rsidRPr="00F2540A" w:rsidRDefault="00830E98" w:rsidP="00830E98">
      <w:pPr>
        <w:pStyle w:val="Paragraphedeliste"/>
        <w:numPr>
          <w:ilvl w:val="0"/>
          <w:numId w:val="22"/>
        </w:numPr>
        <w:spacing w:after="0" w:line="240" w:lineRule="auto"/>
        <w:jc w:val="both"/>
        <w:rPr>
          <w:rFonts w:cstheme="minorHAnsi"/>
        </w:rPr>
      </w:pPr>
      <w:r w:rsidRPr="00F2540A">
        <w:rPr>
          <w:rFonts w:cstheme="minorHAnsi"/>
        </w:rPr>
        <w:t>Les entreprises de pêche,</w:t>
      </w:r>
    </w:p>
    <w:p w14:paraId="0C56DDB8" w14:textId="77777777" w:rsidR="00830E98" w:rsidRPr="001E3C66" w:rsidRDefault="00830E98" w:rsidP="00830E98">
      <w:pPr>
        <w:pStyle w:val="Paragraphedeliste"/>
        <w:numPr>
          <w:ilvl w:val="0"/>
          <w:numId w:val="22"/>
        </w:numPr>
        <w:spacing w:after="0" w:line="240" w:lineRule="auto"/>
        <w:jc w:val="both"/>
        <w:rPr>
          <w:rFonts w:cstheme="minorHAnsi"/>
        </w:rPr>
      </w:pPr>
      <w:r w:rsidRPr="00F2540A">
        <w:rPr>
          <w:rFonts w:cstheme="minorHAnsi"/>
        </w:rPr>
        <w:t xml:space="preserve">Les établissements publics ou organismes scientifiques ou techniques ayant des missions de recherche, </w:t>
      </w:r>
      <w:r w:rsidRPr="001E3C66">
        <w:rPr>
          <w:rFonts w:cstheme="minorHAnsi"/>
        </w:rPr>
        <w:t>d’expertise ou d’appui aux politiques publiques sur le milieu marin (liste non exhaustive en annexe 3),</w:t>
      </w:r>
    </w:p>
    <w:p w14:paraId="7B8487AC" w14:textId="77777777" w:rsidR="00830E98" w:rsidRPr="001E3C66" w:rsidRDefault="00830E98" w:rsidP="00830E98">
      <w:pPr>
        <w:pStyle w:val="Paragraphedeliste"/>
        <w:numPr>
          <w:ilvl w:val="0"/>
          <w:numId w:val="22"/>
        </w:numPr>
        <w:spacing w:after="0" w:line="240" w:lineRule="auto"/>
        <w:jc w:val="both"/>
        <w:rPr>
          <w:rFonts w:cstheme="minorHAnsi"/>
        </w:rPr>
      </w:pPr>
      <w:r w:rsidRPr="001E3C66">
        <w:rPr>
          <w:rFonts w:cstheme="minorHAnsi"/>
        </w:rPr>
        <w:t>Les pôles de compétitivité,</w:t>
      </w:r>
    </w:p>
    <w:p w14:paraId="46D86D69" w14:textId="77777777" w:rsidR="00830E98" w:rsidRDefault="00830E98" w:rsidP="00830E98">
      <w:pPr>
        <w:pStyle w:val="Paragraphedeliste"/>
        <w:numPr>
          <w:ilvl w:val="0"/>
          <w:numId w:val="22"/>
        </w:numPr>
        <w:spacing w:after="0" w:line="240" w:lineRule="auto"/>
        <w:jc w:val="both"/>
        <w:rPr>
          <w:rFonts w:cstheme="minorHAnsi"/>
        </w:rPr>
      </w:pPr>
      <w:r w:rsidRPr="00F2540A">
        <w:rPr>
          <w:rFonts w:cstheme="minorHAnsi"/>
        </w:rPr>
        <w:t>Les gestionnaires d’aires marines protégées,</w:t>
      </w:r>
    </w:p>
    <w:p w14:paraId="77EA2384" w14:textId="1B70F521" w:rsidR="00830E98" w:rsidRPr="001E3C66" w:rsidRDefault="001E3C66" w:rsidP="004A7276">
      <w:pPr>
        <w:pStyle w:val="Paragraphedeliste"/>
        <w:numPr>
          <w:ilvl w:val="0"/>
          <w:numId w:val="22"/>
        </w:numPr>
        <w:spacing w:after="0" w:line="240" w:lineRule="auto"/>
        <w:jc w:val="both"/>
        <w:rPr>
          <w:rFonts w:cstheme="minorHAnsi"/>
        </w:rPr>
      </w:pPr>
      <w:r w:rsidRPr="001E3C66">
        <w:rPr>
          <w:rFonts w:cstheme="minorHAnsi"/>
        </w:rPr>
        <w:t xml:space="preserve">Tout organisme ayant </w:t>
      </w:r>
      <w:r w:rsidRPr="001E3C66">
        <w:rPr>
          <w:rFonts w:cstheme="minorHAnsi"/>
        </w:rPr>
        <w:t>pour objet statutaire une mission relevant de l’intérêt général (activité non lucrative, gestion désintéressée, intérêt collectif dépassant la structure ou adhésion ouverte) :</w:t>
      </w:r>
      <w:r w:rsidRPr="001E3C66">
        <w:rPr>
          <w:rFonts w:cstheme="minorHAnsi"/>
        </w:rPr>
        <w:t xml:space="preserve"> </w:t>
      </w:r>
      <w:r w:rsidRPr="001E3C66">
        <w:rPr>
          <w:rFonts w:cstheme="minorHAnsi"/>
        </w:rPr>
        <w:t>soit dans les domaines techniques ou scientifiques,</w:t>
      </w:r>
      <w:r w:rsidRPr="001E3C66">
        <w:rPr>
          <w:rFonts w:cstheme="minorHAnsi"/>
        </w:rPr>
        <w:t xml:space="preserve"> </w:t>
      </w:r>
      <w:r w:rsidRPr="001E3C66">
        <w:rPr>
          <w:rFonts w:cstheme="minorHAnsi"/>
        </w:rPr>
        <w:t>soit dans le transfert technologique ou d’innovation,</w:t>
      </w:r>
      <w:r w:rsidRPr="001E3C66">
        <w:rPr>
          <w:rFonts w:cstheme="minorHAnsi"/>
        </w:rPr>
        <w:t xml:space="preserve"> </w:t>
      </w:r>
      <w:r w:rsidRPr="001E3C66">
        <w:rPr>
          <w:rFonts w:cstheme="minorHAnsi"/>
        </w:rPr>
        <w:t xml:space="preserve">soit dans l’application des résultats de la recherche publique au monde professionnel, </w:t>
      </w:r>
    </w:p>
    <w:p w14:paraId="6C617F01" w14:textId="77777777" w:rsidR="00830E98" w:rsidRPr="00F2540A" w:rsidRDefault="00830E98" w:rsidP="00830E98">
      <w:pPr>
        <w:pStyle w:val="Paragraphedeliste"/>
        <w:numPr>
          <w:ilvl w:val="0"/>
          <w:numId w:val="22"/>
        </w:numPr>
        <w:spacing w:after="0" w:line="240" w:lineRule="auto"/>
        <w:ind w:right="-2"/>
        <w:jc w:val="both"/>
        <w:rPr>
          <w:rFonts w:cstheme="minorHAnsi"/>
        </w:rPr>
      </w:pPr>
      <w:r w:rsidRPr="00F2540A">
        <w:rPr>
          <w:rFonts w:cstheme="minorHAnsi"/>
        </w:rPr>
        <w:t>Tout autre organisme ou entreprise dont la participation est pertinente pour le projet.</w:t>
      </w:r>
    </w:p>
    <w:p w14:paraId="73523389" w14:textId="77777777" w:rsidR="00830E98" w:rsidRPr="001D3D82" w:rsidRDefault="00830E98" w:rsidP="00830E98">
      <w:pPr>
        <w:autoSpaceDE w:val="0"/>
        <w:autoSpaceDN w:val="0"/>
        <w:adjustRightInd w:val="0"/>
        <w:spacing w:after="0" w:line="240" w:lineRule="auto"/>
        <w:rPr>
          <w:rFonts w:cstheme="minorHAnsi"/>
          <w:color w:val="000000"/>
        </w:rPr>
      </w:pPr>
    </w:p>
    <w:p w14:paraId="338FF772" w14:textId="495F6C23" w:rsidR="00830E98" w:rsidRDefault="00830E98" w:rsidP="00830E98">
      <w:pPr>
        <w:spacing w:after="0"/>
        <w:jc w:val="both"/>
        <w:rPr>
          <w:rFonts w:cstheme="minorHAnsi"/>
          <w:color w:val="000000"/>
        </w:rPr>
      </w:pPr>
      <w:r>
        <w:rPr>
          <w:rFonts w:cstheme="minorHAnsi"/>
          <w:color w:val="000000"/>
        </w:rPr>
        <w:t xml:space="preserve">Les annexes 2 à </w:t>
      </w:r>
      <w:r w:rsidR="00A52173">
        <w:rPr>
          <w:rFonts w:cstheme="minorHAnsi"/>
          <w:color w:val="000000"/>
        </w:rPr>
        <w:t xml:space="preserve">3 </w:t>
      </w:r>
      <w:r w:rsidRPr="001D3D82">
        <w:rPr>
          <w:rFonts w:cstheme="minorHAnsi"/>
          <w:color w:val="000000"/>
        </w:rPr>
        <w:t xml:space="preserve">ne sont pas exhaustives. Si un bénéficiaire fait partie d’une des catégories précisées ci-dessus mais n’est </w:t>
      </w:r>
      <w:r>
        <w:rPr>
          <w:rFonts w:cstheme="minorHAnsi"/>
          <w:color w:val="000000"/>
        </w:rPr>
        <w:t xml:space="preserve">pas listé dans les annexes 2 à </w:t>
      </w:r>
      <w:r w:rsidR="00A52173">
        <w:rPr>
          <w:rFonts w:cstheme="minorHAnsi"/>
          <w:color w:val="000000"/>
        </w:rPr>
        <w:t>3</w:t>
      </w:r>
      <w:r w:rsidRPr="001D3D82">
        <w:rPr>
          <w:rFonts w:cstheme="minorHAnsi"/>
          <w:color w:val="000000"/>
        </w:rPr>
        <w:t xml:space="preserve">, l'autorité de gestion peut rendre le bénéficiaire éligible après avis motivé </w:t>
      </w:r>
      <w:r w:rsidRPr="00D464EF">
        <w:rPr>
          <w:rFonts w:cstheme="minorHAnsi"/>
          <w:color w:val="000000"/>
        </w:rPr>
        <w:t xml:space="preserve">de la Région </w:t>
      </w:r>
      <w:r w:rsidR="00941A13">
        <w:rPr>
          <w:rFonts w:cstheme="minorHAnsi"/>
          <w:color w:val="000000"/>
        </w:rPr>
        <w:t>Provence-Alpes-Côte d’Azur</w:t>
      </w:r>
      <w:r w:rsidRPr="00D464EF">
        <w:rPr>
          <w:rFonts w:cstheme="minorHAnsi"/>
          <w:color w:val="000000"/>
        </w:rPr>
        <w:t xml:space="preserve"> </w:t>
      </w:r>
      <w:r w:rsidRPr="001D3D82">
        <w:rPr>
          <w:rFonts w:cstheme="minorHAnsi"/>
          <w:color w:val="000000"/>
        </w:rPr>
        <w:t>pris sur la base d’un argumentaire fourni par le porteur de projet justifiant son appartenance à l’une des catégories susmentionnées.</w:t>
      </w:r>
    </w:p>
    <w:p w14:paraId="0ADCEAE4" w14:textId="77777777" w:rsidR="00F92194" w:rsidRPr="001D3D82" w:rsidRDefault="00F92194" w:rsidP="00830E98">
      <w:pPr>
        <w:spacing w:after="0"/>
        <w:jc w:val="both"/>
        <w:rPr>
          <w:rFonts w:cstheme="minorHAnsi"/>
        </w:rPr>
      </w:pPr>
    </w:p>
    <w:p w14:paraId="6AD65B6C" w14:textId="6723F5EA" w:rsidR="00244C64" w:rsidRPr="00F92194" w:rsidRDefault="00244C64" w:rsidP="00F92194">
      <w:pPr>
        <w:pStyle w:val="Paragraphedeliste"/>
        <w:numPr>
          <w:ilvl w:val="0"/>
          <w:numId w:val="18"/>
        </w:numPr>
        <w:spacing w:after="120" w:line="240" w:lineRule="auto"/>
        <w:jc w:val="both"/>
        <w:rPr>
          <w:bCs/>
          <w:u w:val="single"/>
        </w:rPr>
      </w:pPr>
      <w:r w:rsidRPr="00F92194">
        <w:rPr>
          <w:bCs/>
          <w:u w:val="single"/>
        </w:rPr>
        <w:t>Dépenses</w:t>
      </w:r>
      <w:r w:rsidR="00F92194">
        <w:rPr>
          <w:bCs/>
          <w:u w:val="single"/>
        </w:rPr>
        <w:t xml:space="preserve"> éligibles</w:t>
      </w:r>
    </w:p>
    <w:p w14:paraId="6B095F09" w14:textId="77777777" w:rsidR="00830E98" w:rsidRPr="00C069B9" w:rsidRDefault="00244C64" w:rsidP="00830E98">
      <w:pPr>
        <w:jc w:val="both"/>
        <w:rPr>
          <w:rFonts w:ascii="Calibri" w:hAnsi="Calibri" w:cs="Calibri"/>
        </w:rPr>
      </w:pPr>
      <w:r>
        <w:rPr>
          <w:b/>
          <w:sz w:val="24"/>
          <w:szCs w:val="24"/>
        </w:rPr>
        <w:t xml:space="preserve"> </w:t>
      </w:r>
      <w:r w:rsidR="00830E98" w:rsidRPr="00C069B9">
        <w:rPr>
          <w:rFonts w:ascii="Calibri" w:hAnsi="Calibri" w:cs="Calibri"/>
        </w:rPr>
        <w:t xml:space="preserve">Les coûts admissibles </w:t>
      </w:r>
      <w:r w:rsidR="00830E98">
        <w:rPr>
          <w:rFonts w:ascii="Calibri" w:hAnsi="Calibri" w:cs="Calibri"/>
        </w:rPr>
        <w:t>sont</w:t>
      </w:r>
      <w:r w:rsidR="00830E98" w:rsidRPr="00C069B9">
        <w:rPr>
          <w:rFonts w:ascii="Calibri" w:hAnsi="Calibri" w:cs="Calibri"/>
        </w:rPr>
        <w:t xml:space="preserve"> les suivants</w:t>
      </w:r>
      <w:r w:rsidR="00830E98">
        <w:rPr>
          <w:rFonts w:ascii="Calibri" w:hAnsi="Calibri" w:cs="Calibri"/>
        </w:rPr>
        <w:t xml:space="preserve"> </w:t>
      </w:r>
      <w:r w:rsidR="00830E98" w:rsidRPr="00C069B9">
        <w:rPr>
          <w:rFonts w:ascii="Calibri" w:hAnsi="Calibri" w:cs="Calibri"/>
        </w:rPr>
        <w:t xml:space="preserve">: </w:t>
      </w:r>
    </w:p>
    <w:p w14:paraId="618FD6A0" w14:textId="77777777" w:rsidR="00830E98" w:rsidRPr="004A70D3" w:rsidRDefault="00830E98" w:rsidP="00830E98">
      <w:pPr>
        <w:pStyle w:val="Paragraphedeliste"/>
        <w:numPr>
          <w:ilvl w:val="0"/>
          <w:numId w:val="23"/>
        </w:numPr>
        <w:jc w:val="both"/>
        <w:rPr>
          <w:rFonts w:ascii="Calibri" w:hAnsi="Calibri" w:cs="Calibri"/>
        </w:rPr>
      </w:pPr>
      <w:r w:rsidRPr="00C069B9">
        <w:rPr>
          <w:rFonts w:ascii="Calibri" w:hAnsi="Calibri" w:cs="Calibri"/>
        </w:rPr>
        <w:t>Les frais de personnel direct</w:t>
      </w:r>
      <w:r>
        <w:rPr>
          <w:rFonts w:ascii="Calibri" w:hAnsi="Calibri" w:cs="Calibri"/>
        </w:rPr>
        <w:t>ement lié</w:t>
      </w:r>
      <w:r w:rsidRPr="00C069B9">
        <w:rPr>
          <w:rFonts w:ascii="Calibri" w:hAnsi="Calibri" w:cs="Calibri"/>
        </w:rPr>
        <w:t>s</w:t>
      </w:r>
      <w:r>
        <w:rPr>
          <w:rFonts w:ascii="Calibri" w:hAnsi="Calibri" w:cs="Calibri"/>
        </w:rPr>
        <w:t xml:space="preserve"> à l’opération : ces frais </w:t>
      </w:r>
      <w:r w:rsidRPr="00C069B9">
        <w:rPr>
          <w:rFonts w:ascii="Calibri" w:hAnsi="Calibri" w:cs="Calibri"/>
        </w:rPr>
        <w:t>seront retenus sur la base d’un coût unitaire calculé lors du dépôt de la demande d’aide (dernière moyenne des salaires bruts / 1607h pour un temps plein)</w:t>
      </w:r>
      <w:r>
        <w:rPr>
          <w:rFonts w:ascii="Calibri" w:hAnsi="Calibri" w:cs="Calibri"/>
        </w:rPr>
        <w:t>.</w:t>
      </w:r>
    </w:p>
    <w:p w14:paraId="67639946" w14:textId="32F48958" w:rsidR="00830E98" w:rsidRDefault="00830E98" w:rsidP="00C01BFE">
      <w:pPr>
        <w:numPr>
          <w:ilvl w:val="0"/>
          <w:numId w:val="23"/>
        </w:numPr>
        <w:suppressAutoHyphens/>
        <w:spacing w:after="0" w:line="240" w:lineRule="auto"/>
        <w:ind w:left="714" w:hanging="357"/>
        <w:jc w:val="both"/>
        <w:rPr>
          <w:rFonts w:ascii="Calibri" w:hAnsi="Calibri" w:cs="Calibri"/>
          <w:i/>
        </w:rPr>
      </w:pPr>
      <w:r w:rsidRPr="00FE780E">
        <w:rPr>
          <w:rFonts w:cstheme="minorHAnsi"/>
        </w:rPr>
        <w:t>Les dépenses d’investissement matériel et immatériel</w:t>
      </w:r>
      <w:r w:rsidRPr="00FE780E" w:rsidDel="00BA0383">
        <w:rPr>
          <w:rFonts w:cstheme="minorHAnsi"/>
        </w:rPr>
        <w:t xml:space="preserve"> </w:t>
      </w:r>
      <w:r w:rsidRPr="00FE780E">
        <w:rPr>
          <w:rFonts w:cstheme="minorHAnsi"/>
        </w:rPr>
        <w:t xml:space="preserve">directement liées à l’opération. Les biens matériels et immatériels sont éligibles dans la mesure où et aussi longtemps qu’ils sont utilisés pour le projet. Lorsque ces biens ne sont pas utilisés pendant toute leur durée de vie </w:t>
      </w:r>
      <w:r w:rsidRPr="00FE780E">
        <w:rPr>
          <w:rFonts w:ascii="Calibri" w:hAnsi="Calibri" w:cs="Calibri"/>
        </w:rPr>
        <w:t>dans le cadre du projet, seuls sont éligibles les coûts d’amortissement correspondant à la durée du projet, calculés conformément aux principes comptables généralement admis. Il est rappelé que conformément au décret d’éligibilité</w:t>
      </w:r>
      <w:r w:rsidRPr="00FE780E">
        <w:rPr>
          <w:rStyle w:val="Appelnotedebasdep"/>
          <w:rFonts w:ascii="Calibri" w:hAnsi="Calibri" w:cs="Calibri"/>
          <w:color w:val="FF0000"/>
        </w:rPr>
        <w:footnoteReference w:id="2"/>
      </w:r>
      <w:r w:rsidRPr="00FE780E">
        <w:rPr>
          <w:rFonts w:ascii="Calibri" w:hAnsi="Calibri" w:cs="Calibri"/>
        </w:rPr>
        <w:t xml:space="preserve"> </w:t>
      </w:r>
      <w:r w:rsidRPr="00FE780E">
        <w:rPr>
          <w:rFonts w:ascii="Calibri" w:hAnsi="Calibri" w:cs="Calibri"/>
          <w:i/>
        </w:rPr>
        <w:t>« Les dépenses d'amortissement et l’achat du bien ne peuvent pas être financés de façon cumulative ».</w:t>
      </w:r>
    </w:p>
    <w:p w14:paraId="2C9D2906" w14:textId="77777777" w:rsidR="00FE780E" w:rsidRPr="00FE780E" w:rsidRDefault="00FE780E" w:rsidP="00FE780E">
      <w:pPr>
        <w:suppressAutoHyphens/>
        <w:spacing w:after="0" w:line="240" w:lineRule="auto"/>
        <w:ind w:left="714"/>
        <w:jc w:val="both"/>
        <w:rPr>
          <w:rFonts w:ascii="Calibri" w:hAnsi="Calibri" w:cs="Calibri"/>
          <w:i/>
        </w:rPr>
      </w:pPr>
    </w:p>
    <w:p w14:paraId="72FC0C09" w14:textId="77777777" w:rsidR="00830E98" w:rsidRPr="007F0AA4" w:rsidRDefault="00830E98" w:rsidP="00830E98">
      <w:pPr>
        <w:suppressAutoHyphens/>
        <w:spacing w:after="0" w:line="240" w:lineRule="auto"/>
        <w:ind w:left="714"/>
        <w:jc w:val="both"/>
        <w:rPr>
          <w:rFonts w:cstheme="minorHAnsi"/>
        </w:rPr>
      </w:pPr>
      <w:r>
        <w:rPr>
          <w:rFonts w:ascii="Calibri" w:hAnsi="Calibri" w:cs="Calibri"/>
        </w:rPr>
        <w:t xml:space="preserve">Ces dépenses concernent notamment : </w:t>
      </w:r>
    </w:p>
    <w:p w14:paraId="0E94314F" w14:textId="77777777" w:rsidR="00830E98" w:rsidRDefault="00830E98" w:rsidP="00830E98">
      <w:pPr>
        <w:pStyle w:val="Paragraphedeliste"/>
        <w:numPr>
          <w:ilvl w:val="1"/>
          <w:numId w:val="23"/>
        </w:numPr>
        <w:spacing w:after="0" w:line="240" w:lineRule="auto"/>
        <w:contextualSpacing w:val="0"/>
        <w:jc w:val="both"/>
        <w:rPr>
          <w:rFonts w:ascii="Calibri" w:hAnsi="Calibri" w:cs="Calibri"/>
        </w:rPr>
      </w:pPr>
      <w:r>
        <w:rPr>
          <w:rFonts w:ascii="Calibri" w:hAnsi="Calibri" w:cs="Calibri"/>
        </w:rPr>
        <w:t>Les équipements,</w:t>
      </w:r>
      <w:r w:rsidRPr="00CE47B5">
        <w:rPr>
          <w:rFonts w:ascii="Calibri" w:hAnsi="Calibri" w:cs="Calibri"/>
        </w:rPr>
        <w:t xml:space="preserve"> instruments</w:t>
      </w:r>
      <w:r>
        <w:rPr>
          <w:rFonts w:ascii="Calibri" w:hAnsi="Calibri" w:cs="Calibri"/>
        </w:rPr>
        <w:t xml:space="preserve">, matériels, </w:t>
      </w:r>
      <w:r w:rsidRPr="00211287">
        <w:rPr>
          <w:rFonts w:ascii="Calibri" w:hAnsi="Calibri" w:cs="Calibri"/>
        </w:rPr>
        <w:t>dans la mesure où et aussi longtemps qu’ils sont utilisés pour le projet</w:t>
      </w:r>
      <w:r w:rsidRPr="00CE47B5">
        <w:rPr>
          <w:rFonts w:ascii="Calibri" w:hAnsi="Calibri" w:cs="Calibri"/>
        </w:rPr>
        <w:t>.</w:t>
      </w:r>
    </w:p>
    <w:p w14:paraId="66345081" w14:textId="77777777" w:rsidR="00830E98" w:rsidRDefault="00830E98" w:rsidP="00830E98">
      <w:pPr>
        <w:pStyle w:val="Paragraphedeliste"/>
        <w:numPr>
          <w:ilvl w:val="1"/>
          <w:numId w:val="23"/>
        </w:numPr>
        <w:spacing w:after="0" w:line="240" w:lineRule="auto"/>
        <w:contextualSpacing w:val="0"/>
        <w:jc w:val="both"/>
        <w:rPr>
          <w:rFonts w:ascii="Calibri" w:hAnsi="Calibri" w:cs="Calibri"/>
        </w:rPr>
      </w:pPr>
      <w:r>
        <w:rPr>
          <w:rFonts w:ascii="Calibri" w:hAnsi="Calibri" w:cs="Calibri"/>
        </w:rPr>
        <w:t>Les prototypes.</w:t>
      </w:r>
    </w:p>
    <w:p w14:paraId="00015689" w14:textId="77777777" w:rsidR="00830E98" w:rsidRPr="00A87FB0" w:rsidRDefault="00830E98" w:rsidP="00830E98">
      <w:pPr>
        <w:pStyle w:val="Paragraphedeliste"/>
        <w:numPr>
          <w:ilvl w:val="1"/>
          <w:numId w:val="23"/>
        </w:numPr>
        <w:spacing w:after="0" w:line="240" w:lineRule="auto"/>
        <w:contextualSpacing w:val="0"/>
        <w:jc w:val="both"/>
        <w:rPr>
          <w:rFonts w:ascii="Calibri" w:hAnsi="Calibri" w:cs="Calibri"/>
        </w:rPr>
      </w:pPr>
      <w:r w:rsidRPr="00CE47B5">
        <w:rPr>
          <w:rFonts w:ascii="Calibri" w:hAnsi="Calibri" w:cs="Calibri"/>
        </w:rPr>
        <w:t xml:space="preserve">Les achats </w:t>
      </w:r>
      <w:r>
        <w:rPr>
          <w:rFonts w:ascii="Calibri" w:hAnsi="Calibri" w:cs="Calibri"/>
        </w:rPr>
        <w:t>de consommables directement lié</w:t>
      </w:r>
      <w:r w:rsidRPr="00CE47B5">
        <w:rPr>
          <w:rFonts w:ascii="Calibri" w:hAnsi="Calibri" w:cs="Calibri"/>
        </w:rPr>
        <w:t>s à l’opération</w:t>
      </w:r>
      <w:r>
        <w:rPr>
          <w:rFonts w:ascii="Calibri" w:hAnsi="Calibri" w:cs="Calibri"/>
        </w:rPr>
        <w:t>,</w:t>
      </w:r>
    </w:p>
    <w:p w14:paraId="4E6167F0" w14:textId="77777777" w:rsidR="00830E98" w:rsidRPr="00655810" w:rsidRDefault="00830E98" w:rsidP="00830E98">
      <w:pPr>
        <w:pStyle w:val="Paragraphedeliste"/>
        <w:numPr>
          <w:ilvl w:val="1"/>
          <w:numId w:val="23"/>
        </w:numPr>
        <w:spacing w:line="240" w:lineRule="auto"/>
        <w:contextualSpacing w:val="0"/>
        <w:jc w:val="both"/>
        <w:rPr>
          <w:rFonts w:ascii="Calibri" w:hAnsi="Calibri" w:cs="Calibri"/>
        </w:rPr>
      </w:pPr>
      <w:r w:rsidRPr="00655810">
        <w:rPr>
          <w:rFonts w:ascii="Calibri" w:hAnsi="Calibri" w:cs="Calibri"/>
        </w:rPr>
        <w:t>Les coûts de la recherche contractuelle, des connaissances et des brevets achetés ou pris sous licence auprès de sources extérieures à des conditions de pleine concurrence</w:t>
      </w:r>
      <w:r w:rsidRPr="00FE780E">
        <w:rPr>
          <w:rStyle w:val="Appelnotedebasdep"/>
          <w:rFonts w:ascii="Calibri" w:hAnsi="Calibri" w:cs="Calibri"/>
          <w:color w:val="FF0000"/>
        </w:rPr>
        <w:footnoteReference w:id="3"/>
      </w:r>
      <w:r w:rsidRPr="00655810">
        <w:rPr>
          <w:rFonts w:ascii="Calibri" w:hAnsi="Calibri" w:cs="Calibri"/>
        </w:rPr>
        <w:t>.</w:t>
      </w:r>
    </w:p>
    <w:p w14:paraId="09DD3570" w14:textId="77777777" w:rsidR="00830E98" w:rsidRDefault="00830E98" w:rsidP="00830E98">
      <w:pPr>
        <w:pStyle w:val="Paragraphedeliste"/>
        <w:numPr>
          <w:ilvl w:val="1"/>
          <w:numId w:val="23"/>
        </w:numPr>
        <w:spacing w:after="0"/>
        <w:contextualSpacing w:val="0"/>
        <w:jc w:val="both"/>
        <w:rPr>
          <w:rFonts w:ascii="Calibri" w:hAnsi="Calibri" w:cs="Calibri"/>
        </w:rPr>
      </w:pPr>
      <w:r w:rsidRPr="00655810">
        <w:rPr>
          <w:rFonts w:ascii="Calibri" w:hAnsi="Calibri" w:cs="Calibri"/>
        </w:rPr>
        <w:t>Les prestations de service (études, expertise, prestations d’intérim, location et sous-traitance directement liées à l’opération, etc.) sur une base réelle.</w:t>
      </w:r>
    </w:p>
    <w:p w14:paraId="0657C376" w14:textId="77777777" w:rsidR="00830E98" w:rsidRPr="00C620F3" w:rsidRDefault="00830E98" w:rsidP="00830E98">
      <w:pPr>
        <w:pStyle w:val="Paragraphedeliste"/>
        <w:numPr>
          <w:ilvl w:val="1"/>
          <w:numId w:val="23"/>
        </w:numPr>
        <w:spacing w:after="0" w:line="240" w:lineRule="auto"/>
        <w:contextualSpacing w:val="0"/>
        <w:jc w:val="both"/>
        <w:rPr>
          <w:rFonts w:ascii="Calibri" w:hAnsi="Calibri" w:cs="Calibri"/>
        </w:rPr>
      </w:pPr>
      <w:r w:rsidRPr="00211287">
        <w:rPr>
          <w:rFonts w:ascii="Calibri" w:hAnsi="Calibri" w:cs="Calibri"/>
        </w:rPr>
        <w:t xml:space="preserve">Les frais de communication et de diffusion des résultats du projet auprès des acteurs de la filière </w:t>
      </w:r>
      <w:r>
        <w:rPr>
          <w:rFonts w:ascii="Calibri" w:hAnsi="Calibri" w:cs="Calibri"/>
        </w:rPr>
        <w:t>sur une base réelle.</w:t>
      </w:r>
    </w:p>
    <w:p w14:paraId="6FF23B10" w14:textId="77777777" w:rsidR="00830E98" w:rsidRPr="00211287" w:rsidRDefault="00830E98" w:rsidP="00830E98">
      <w:pPr>
        <w:pStyle w:val="Paragraphedeliste"/>
        <w:numPr>
          <w:ilvl w:val="1"/>
          <w:numId w:val="23"/>
        </w:numPr>
        <w:spacing w:line="240" w:lineRule="auto"/>
        <w:contextualSpacing w:val="0"/>
        <w:jc w:val="both"/>
        <w:rPr>
          <w:rFonts w:ascii="Calibri" w:hAnsi="Calibri" w:cs="Calibri"/>
        </w:rPr>
      </w:pPr>
      <w:r w:rsidRPr="00211287">
        <w:rPr>
          <w:rFonts w:ascii="Calibri" w:hAnsi="Calibri" w:cs="Calibri"/>
        </w:rPr>
        <w:lastRenderedPageBreak/>
        <w:t xml:space="preserve">Les coûts de location des bâtiments ou structures dans la mesure où et aussi longtemps qu’ils sont utilisés pour </w:t>
      </w:r>
      <w:r>
        <w:rPr>
          <w:rFonts w:ascii="Calibri" w:hAnsi="Calibri" w:cs="Calibri"/>
        </w:rPr>
        <w:t>le projet, sur une base réelle.</w:t>
      </w:r>
    </w:p>
    <w:p w14:paraId="3AD0D3AB" w14:textId="77777777" w:rsidR="00830E98" w:rsidRDefault="00830E98" w:rsidP="00830E98">
      <w:pPr>
        <w:pStyle w:val="Paragraphedeliste"/>
        <w:numPr>
          <w:ilvl w:val="0"/>
          <w:numId w:val="23"/>
        </w:numPr>
        <w:ind w:left="714" w:hanging="357"/>
        <w:contextualSpacing w:val="0"/>
        <w:jc w:val="both"/>
        <w:rPr>
          <w:rFonts w:ascii="Calibri" w:hAnsi="Calibri" w:cs="Calibri"/>
        </w:rPr>
      </w:pPr>
      <w:r w:rsidRPr="004A70D3">
        <w:rPr>
          <w:rFonts w:ascii="Calibri" w:hAnsi="Calibri" w:cs="Calibri"/>
        </w:rPr>
        <w:t xml:space="preserve">Les </w:t>
      </w:r>
      <w:r>
        <w:rPr>
          <w:rFonts w:ascii="Calibri" w:hAnsi="Calibri" w:cs="Calibri"/>
        </w:rPr>
        <w:t>frais indirect</w:t>
      </w:r>
      <w:r w:rsidRPr="004A70D3">
        <w:rPr>
          <w:rFonts w:ascii="Calibri" w:hAnsi="Calibri" w:cs="Calibri"/>
        </w:rPr>
        <w:t>s (</w:t>
      </w:r>
      <w:r>
        <w:rPr>
          <w:rFonts w:ascii="Calibri" w:hAnsi="Calibri" w:cs="Calibri"/>
        </w:rPr>
        <w:t>tel</w:t>
      </w:r>
      <w:r w:rsidRPr="004A70D3">
        <w:rPr>
          <w:rFonts w:ascii="Calibri" w:hAnsi="Calibri" w:cs="Calibri"/>
        </w:rPr>
        <w:t xml:space="preserve">s que loyer, électricité, téléphonie, dépenses de personnel ne pouvant être directement </w:t>
      </w:r>
      <w:r>
        <w:rPr>
          <w:rFonts w:ascii="Calibri" w:hAnsi="Calibri" w:cs="Calibri"/>
        </w:rPr>
        <w:t>affectés au projet) sont pris</w:t>
      </w:r>
      <w:r w:rsidRPr="004A70D3">
        <w:rPr>
          <w:rFonts w:ascii="Calibri" w:hAnsi="Calibri" w:cs="Calibri"/>
        </w:rPr>
        <w:t xml:space="preserve"> en compte uniquement de manière forfaitaire à hauteur de 15% des dépenses directes de per</w:t>
      </w:r>
      <w:r>
        <w:rPr>
          <w:rFonts w:ascii="Calibri" w:hAnsi="Calibri" w:cs="Calibri"/>
        </w:rPr>
        <w:t>sonnel. Aucun justificatif ne sera</w:t>
      </w:r>
      <w:r w:rsidRPr="004A70D3">
        <w:rPr>
          <w:rFonts w:ascii="Calibri" w:hAnsi="Calibri" w:cs="Calibri"/>
        </w:rPr>
        <w:t xml:space="preserve"> à fournir.</w:t>
      </w:r>
    </w:p>
    <w:p w14:paraId="78550E86" w14:textId="77777777" w:rsidR="00830E98" w:rsidRPr="004A70D3" w:rsidRDefault="00830E98" w:rsidP="00830E98">
      <w:pPr>
        <w:pStyle w:val="Paragraphedeliste"/>
        <w:numPr>
          <w:ilvl w:val="0"/>
          <w:numId w:val="23"/>
        </w:numPr>
        <w:ind w:left="714" w:hanging="357"/>
        <w:contextualSpacing w:val="0"/>
        <w:jc w:val="both"/>
        <w:rPr>
          <w:rFonts w:ascii="Calibri" w:hAnsi="Calibri" w:cs="Calibri"/>
        </w:rPr>
      </w:pPr>
      <w:r w:rsidRPr="004A70D3">
        <w:rPr>
          <w:rFonts w:ascii="Calibri" w:hAnsi="Calibri" w:cs="Calibri"/>
        </w:rPr>
        <w:t>Les frais de missions</w:t>
      </w:r>
      <w:r>
        <w:rPr>
          <w:rFonts w:ascii="Calibri" w:hAnsi="Calibri" w:cs="Calibri"/>
        </w:rPr>
        <w:t xml:space="preserve"> </w:t>
      </w:r>
      <w:r>
        <w:rPr>
          <w:rFonts w:cstheme="minorHAnsi"/>
        </w:rPr>
        <w:t>directement liés à l’opération</w:t>
      </w:r>
      <w:r w:rsidRPr="004A70D3">
        <w:rPr>
          <w:rFonts w:ascii="Calibri" w:hAnsi="Calibri" w:cs="Calibri"/>
        </w:rPr>
        <w:t xml:space="preserve"> (telles que dépenses d’hébergement, de restauration, de déplacement) sont pris en compte de manière forfaitaire à hauteur de 6,3 % des </w:t>
      </w:r>
      <w:r>
        <w:rPr>
          <w:rFonts w:ascii="Calibri" w:hAnsi="Calibri" w:cs="Calibri"/>
        </w:rPr>
        <w:t>dépenses directes de personnel (hors billets d’avion entre la métropole et les régions ultrapériphériques et la Corse qui bénéficient d’une prise en charge au coût réel).</w:t>
      </w:r>
    </w:p>
    <w:p w14:paraId="721B2EDA" w14:textId="77777777" w:rsidR="00830E98" w:rsidRPr="00086CD7" w:rsidRDefault="00830E98" w:rsidP="00830E98">
      <w:pPr>
        <w:pStyle w:val="Paragraphedeliste"/>
        <w:numPr>
          <w:ilvl w:val="0"/>
          <w:numId w:val="23"/>
        </w:numPr>
        <w:autoSpaceDE w:val="0"/>
        <w:autoSpaceDN w:val="0"/>
        <w:adjustRightInd w:val="0"/>
        <w:spacing w:after="0" w:line="240" w:lineRule="auto"/>
        <w:jc w:val="both"/>
        <w:rPr>
          <w:rFonts w:ascii="Calibri" w:hAnsi="Calibri" w:cs="Calibri"/>
          <w:color w:val="000000"/>
        </w:rPr>
      </w:pPr>
      <w:r w:rsidRPr="00655810">
        <w:rPr>
          <w:rFonts w:ascii="Calibri" w:hAnsi="Calibri" w:cs="Calibri"/>
          <w:color w:val="000000"/>
        </w:rPr>
        <w:t>En cas de mise à disposition, par une entreprise ou un organisme, de moyens pour la réalisation</w:t>
      </w:r>
      <w:r>
        <w:rPr>
          <w:rFonts w:ascii="Calibri" w:hAnsi="Calibri" w:cs="Calibri"/>
          <w:color w:val="000000"/>
        </w:rPr>
        <w:t xml:space="preserve"> de tests en situation réelle, l</w:t>
      </w:r>
      <w:r w:rsidRPr="00086CD7">
        <w:rPr>
          <w:rFonts w:ascii="Calibri" w:hAnsi="Calibri" w:cs="Calibri"/>
          <w:color w:val="000000"/>
        </w:rPr>
        <w:t>es coûts éligibles relatifs à ces dépenses (base réelle) correspondent notamment, aux coûts de location des moyens des entreprises mobilisés pour le projet, ou à un contrat de sous-traitance</w:t>
      </w:r>
      <w:r>
        <w:rPr>
          <w:rFonts w:ascii="Calibri" w:hAnsi="Calibri" w:cs="Calibri"/>
          <w:color w:val="000000"/>
        </w:rPr>
        <w:t>,</w:t>
      </w:r>
      <w:r w:rsidRPr="00086CD7">
        <w:rPr>
          <w:rFonts w:ascii="Calibri" w:hAnsi="Calibri" w:cs="Calibri"/>
          <w:color w:val="000000"/>
        </w:rPr>
        <w:t xml:space="preserve"> etc. </w:t>
      </w:r>
    </w:p>
    <w:p w14:paraId="17E14AEC" w14:textId="16FAE844" w:rsidR="00830E98" w:rsidRPr="00086CD7" w:rsidRDefault="00830E98" w:rsidP="00830E98">
      <w:pPr>
        <w:autoSpaceDE w:val="0"/>
        <w:autoSpaceDN w:val="0"/>
        <w:adjustRightInd w:val="0"/>
        <w:spacing w:line="240" w:lineRule="auto"/>
        <w:ind w:left="708"/>
        <w:jc w:val="both"/>
        <w:rPr>
          <w:rFonts w:ascii="Calibri" w:hAnsi="Calibri" w:cs="Calibri"/>
          <w:color w:val="000000"/>
        </w:rPr>
      </w:pPr>
      <w:r w:rsidRPr="00086CD7">
        <w:rPr>
          <w:rFonts w:ascii="Calibri" w:hAnsi="Calibri" w:cs="Calibri"/>
          <w:color w:val="000000"/>
          <w:u w:val="single"/>
        </w:rPr>
        <w:t>NB :</w:t>
      </w:r>
      <w:r w:rsidRPr="00086CD7">
        <w:rPr>
          <w:rFonts w:ascii="Calibri" w:hAnsi="Calibri" w:cs="Calibri"/>
          <w:color w:val="000000"/>
        </w:rPr>
        <w:t xml:space="preserve"> Dans le cas où l’entreprise bénéficiaire génère des recettes pendant l’expérimentation (</w:t>
      </w:r>
      <w:r w:rsidR="001847D5" w:rsidRPr="00086CD7">
        <w:rPr>
          <w:rFonts w:ascii="Calibri" w:hAnsi="Calibri" w:cs="Calibri"/>
          <w:color w:val="000000"/>
        </w:rPr>
        <w:t>ex</w:t>
      </w:r>
      <w:r w:rsidR="001847D5">
        <w:rPr>
          <w:rFonts w:ascii="Calibri" w:hAnsi="Calibri" w:cs="Calibri"/>
          <w:color w:val="000000"/>
        </w:rPr>
        <w:t xml:space="preserve">emple : </w:t>
      </w:r>
      <w:r w:rsidR="001847D5" w:rsidRPr="00086CD7">
        <w:rPr>
          <w:rFonts w:ascii="Calibri" w:hAnsi="Calibri" w:cs="Calibri"/>
          <w:color w:val="000000"/>
        </w:rPr>
        <w:t>vente</w:t>
      </w:r>
      <w:r w:rsidRPr="00086CD7">
        <w:rPr>
          <w:rFonts w:ascii="Calibri" w:hAnsi="Calibri" w:cs="Calibri"/>
          <w:color w:val="000000"/>
        </w:rPr>
        <w:t xml:space="preserve"> de produits de la pêche), ces dernières sont déduites des dépenses éligibles de l’opération. </w:t>
      </w:r>
    </w:p>
    <w:p w14:paraId="3903FE9A" w14:textId="77777777" w:rsidR="00830E98" w:rsidRPr="00086CD7" w:rsidRDefault="00830E98" w:rsidP="00830E98">
      <w:pPr>
        <w:pStyle w:val="Paragraphedeliste"/>
        <w:numPr>
          <w:ilvl w:val="0"/>
          <w:numId w:val="25"/>
        </w:numPr>
        <w:autoSpaceDE w:val="0"/>
        <w:autoSpaceDN w:val="0"/>
        <w:adjustRightInd w:val="0"/>
        <w:spacing w:after="0" w:line="240" w:lineRule="auto"/>
        <w:jc w:val="both"/>
        <w:rPr>
          <w:rFonts w:ascii="Calibri" w:hAnsi="Calibri" w:cs="Calibri"/>
          <w:color w:val="000000"/>
        </w:rPr>
      </w:pPr>
      <w:r w:rsidRPr="00086CD7">
        <w:rPr>
          <w:rFonts w:ascii="Calibri" w:hAnsi="Calibri" w:cs="Calibri"/>
          <w:color w:val="000000"/>
        </w:rPr>
        <w:t xml:space="preserve">Dans le cas particulier de l’affrètement de navire : Dépenses directes liées à l’affrètement de navires selon un forfait justifié par le bénéficiaire : </w:t>
      </w:r>
    </w:p>
    <w:p w14:paraId="694B1CA1" w14:textId="77777777" w:rsidR="00830E98" w:rsidRDefault="00830E98" w:rsidP="00830E98">
      <w:pPr>
        <w:pStyle w:val="Paragraphedeliste"/>
        <w:numPr>
          <w:ilvl w:val="0"/>
          <w:numId w:val="26"/>
        </w:numPr>
        <w:autoSpaceDE w:val="0"/>
        <w:autoSpaceDN w:val="0"/>
        <w:adjustRightInd w:val="0"/>
        <w:spacing w:after="0" w:line="240" w:lineRule="auto"/>
        <w:jc w:val="both"/>
        <w:rPr>
          <w:rFonts w:ascii="Calibri" w:hAnsi="Calibri" w:cs="Calibri"/>
          <w:color w:val="000000"/>
        </w:rPr>
      </w:pPr>
      <w:r w:rsidRPr="00632ECA">
        <w:rPr>
          <w:rFonts w:ascii="Calibri" w:hAnsi="Calibri" w:cs="Calibri"/>
          <w:color w:val="000000"/>
        </w:rPr>
        <w:t xml:space="preserve">Si le bénéficiaire est propriétaire du navire : pour chaque mission en mer inscrite dans le projet, une copie certifiée de l’état des dépenses doit être présentée au service instructeur avec la ventilation détaillée des frais d’exploitation et le cas échéant, la manière dont ces frais ont été calculés, pour justifier du forfait journalier de coût des navires. </w:t>
      </w:r>
    </w:p>
    <w:p w14:paraId="01963FA8" w14:textId="77777777" w:rsidR="00830E98" w:rsidRPr="00632ECA" w:rsidRDefault="00830E98" w:rsidP="00830E98">
      <w:pPr>
        <w:pStyle w:val="Paragraphedeliste"/>
        <w:numPr>
          <w:ilvl w:val="0"/>
          <w:numId w:val="26"/>
        </w:numPr>
        <w:autoSpaceDE w:val="0"/>
        <w:autoSpaceDN w:val="0"/>
        <w:adjustRightInd w:val="0"/>
        <w:spacing w:after="0" w:line="240" w:lineRule="auto"/>
        <w:jc w:val="both"/>
        <w:rPr>
          <w:rFonts w:ascii="Calibri" w:hAnsi="Calibri" w:cs="Calibri"/>
          <w:color w:val="000000"/>
        </w:rPr>
      </w:pPr>
      <w:r w:rsidRPr="00632ECA">
        <w:rPr>
          <w:rFonts w:ascii="Calibri" w:hAnsi="Calibri" w:cs="Calibri"/>
          <w:color w:val="000000"/>
        </w:rPr>
        <w:t xml:space="preserve">Si le bénéficiaire affrète le navire : les règles relatives à la sous-traitance s’appliquent pour la justification des dépenses. Les pièces justificatives (contrats de sous-traitance, factures) indiquent la ventilation des postes de dépenses. Dans ce cas, les dépenses sont calculées aux frais réels. </w:t>
      </w:r>
    </w:p>
    <w:p w14:paraId="7C14CA79" w14:textId="77777777" w:rsidR="00830E98" w:rsidRPr="004A70D3" w:rsidRDefault="00830E98" w:rsidP="00830E98">
      <w:pPr>
        <w:jc w:val="both"/>
        <w:rPr>
          <w:rFonts w:ascii="Calibri" w:hAnsi="Calibri" w:cs="Calibri"/>
        </w:rPr>
      </w:pPr>
    </w:p>
    <w:p w14:paraId="44A877DF" w14:textId="77777777" w:rsidR="00830E98" w:rsidRPr="00C069B9" w:rsidRDefault="00830E98" w:rsidP="00830E98">
      <w:pPr>
        <w:rPr>
          <w:rFonts w:ascii="Calibri" w:hAnsi="Calibri" w:cs="Calibri"/>
        </w:rPr>
      </w:pPr>
      <w:r>
        <w:rPr>
          <w:rFonts w:ascii="Calibri" w:hAnsi="Calibri" w:cs="Calibri"/>
        </w:rPr>
        <w:t xml:space="preserve">Les dépenses </w:t>
      </w:r>
      <w:r w:rsidRPr="00C069B9">
        <w:rPr>
          <w:rFonts w:ascii="Calibri" w:hAnsi="Calibri" w:cs="Calibri"/>
        </w:rPr>
        <w:t>inéligibles</w:t>
      </w:r>
      <w:r>
        <w:rPr>
          <w:rFonts w:ascii="Calibri" w:hAnsi="Calibri" w:cs="Calibri"/>
        </w:rPr>
        <w:t xml:space="preserve"> sont notamment</w:t>
      </w:r>
      <w:r w:rsidRPr="00C069B9">
        <w:rPr>
          <w:rFonts w:ascii="Calibri" w:hAnsi="Calibri" w:cs="Calibri"/>
        </w:rPr>
        <w:t xml:space="preserve"> (liste non exhaustive)</w:t>
      </w:r>
      <w:r>
        <w:rPr>
          <w:rFonts w:ascii="Calibri" w:hAnsi="Calibri" w:cs="Calibri"/>
        </w:rPr>
        <w:t xml:space="preserve"> : </w:t>
      </w:r>
    </w:p>
    <w:p w14:paraId="0E0B8B65" w14:textId="77777777" w:rsidR="00830E98" w:rsidRPr="000B1155" w:rsidRDefault="00830E98" w:rsidP="00830E98">
      <w:pPr>
        <w:pStyle w:val="Paragraphedeliste"/>
        <w:numPr>
          <w:ilvl w:val="0"/>
          <w:numId w:val="24"/>
        </w:numPr>
        <w:jc w:val="both"/>
        <w:rPr>
          <w:rFonts w:ascii="Calibri" w:hAnsi="Calibri" w:cs="Calibri"/>
        </w:rPr>
      </w:pPr>
      <w:r w:rsidRPr="000B1155">
        <w:rPr>
          <w:rFonts w:ascii="Calibri" w:hAnsi="Calibri" w:cs="Calibri"/>
        </w:rPr>
        <w:t>Les dépenses mentionnées à l’article 13 du règlement FEAMPA ou dans le décret n°2022-608 du 21 avril 2022 fixant les règles nationales d'éligibilité des dépenses des programmes européens de la politique de cohésion et de la pêche et des affaires maritimes pour la période de programmation 2021-2027</w:t>
      </w:r>
      <w:r>
        <w:rPr>
          <w:rFonts w:ascii="Calibri" w:hAnsi="Calibri" w:cs="Calibri"/>
        </w:rPr>
        <w:t>.</w:t>
      </w:r>
    </w:p>
    <w:p w14:paraId="3717D4BF" w14:textId="77777777" w:rsidR="00830E98" w:rsidRDefault="00830E98" w:rsidP="00830E98">
      <w:pPr>
        <w:pStyle w:val="Paragraphedeliste"/>
        <w:numPr>
          <w:ilvl w:val="0"/>
          <w:numId w:val="24"/>
        </w:numPr>
        <w:jc w:val="both"/>
        <w:rPr>
          <w:rFonts w:ascii="Calibri" w:hAnsi="Calibri" w:cs="Calibri"/>
        </w:rPr>
      </w:pPr>
      <w:r>
        <w:rPr>
          <w:rFonts w:ascii="Calibri" w:hAnsi="Calibri" w:cs="Calibri"/>
        </w:rPr>
        <w:t>Les coûts d’amortissement des matériels et équipements utilisés sur une période supérieure à celle du projet financé (seuls les coûts d’amortissement sur la durée du projet sont éligibles).</w:t>
      </w:r>
    </w:p>
    <w:p w14:paraId="284963E7" w14:textId="77777777" w:rsidR="00830E98" w:rsidRPr="00D74D24" w:rsidRDefault="00830E98" w:rsidP="00830E98">
      <w:pPr>
        <w:pStyle w:val="Paragraphedeliste"/>
        <w:numPr>
          <w:ilvl w:val="0"/>
          <w:numId w:val="24"/>
        </w:numPr>
        <w:jc w:val="both"/>
        <w:rPr>
          <w:rFonts w:ascii="Calibri" w:hAnsi="Calibri" w:cs="Calibri"/>
        </w:rPr>
      </w:pPr>
      <w:r>
        <w:rPr>
          <w:rFonts w:ascii="Calibri" w:hAnsi="Calibri" w:cs="Calibri"/>
        </w:rPr>
        <w:t>Les dépenses engagées avant le dépôt du dossier de réponse à l’appel à projet (dossier de demande d’aide).</w:t>
      </w:r>
    </w:p>
    <w:p w14:paraId="228A5775" w14:textId="77777777" w:rsidR="00830E98" w:rsidRPr="00C069B9" w:rsidRDefault="00830E98" w:rsidP="00830E98">
      <w:pPr>
        <w:pStyle w:val="Paragraphedeliste"/>
        <w:numPr>
          <w:ilvl w:val="0"/>
          <w:numId w:val="24"/>
        </w:numPr>
        <w:jc w:val="both"/>
        <w:rPr>
          <w:rFonts w:ascii="Calibri" w:hAnsi="Calibri" w:cs="Calibri"/>
        </w:rPr>
      </w:pPr>
      <w:r>
        <w:rPr>
          <w:rFonts w:ascii="Calibri" w:hAnsi="Calibri" w:cs="Calibri"/>
        </w:rPr>
        <w:t xml:space="preserve">Le </w:t>
      </w:r>
      <w:r w:rsidRPr="00C069B9">
        <w:rPr>
          <w:rFonts w:ascii="Calibri" w:hAnsi="Calibri" w:cs="Calibri"/>
        </w:rPr>
        <w:t>matériel acquis en leasing, crédit-bail et assimilés</w:t>
      </w:r>
      <w:r>
        <w:rPr>
          <w:rFonts w:ascii="Calibri" w:hAnsi="Calibri" w:cs="Calibri"/>
        </w:rPr>
        <w:t>.</w:t>
      </w:r>
    </w:p>
    <w:p w14:paraId="3049E25F" w14:textId="77777777" w:rsidR="00830E98" w:rsidRDefault="00830E98" w:rsidP="00830E98">
      <w:pPr>
        <w:pStyle w:val="Paragraphedeliste"/>
        <w:numPr>
          <w:ilvl w:val="0"/>
          <w:numId w:val="24"/>
        </w:numPr>
        <w:jc w:val="both"/>
        <w:rPr>
          <w:rFonts w:ascii="Calibri" w:hAnsi="Calibri" w:cs="Calibri"/>
        </w:rPr>
      </w:pPr>
      <w:r>
        <w:rPr>
          <w:rFonts w:ascii="Calibri" w:hAnsi="Calibri" w:cs="Calibri"/>
        </w:rPr>
        <w:t>L’acquisition</w:t>
      </w:r>
      <w:r w:rsidRPr="00C069B9">
        <w:rPr>
          <w:rFonts w:ascii="Calibri" w:hAnsi="Calibri" w:cs="Calibri"/>
        </w:rPr>
        <w:t xml:space="preserve"> de matériel d'occasion à une entreprise partenaire, liée ou appartenant à un même groupe</w:t>
      </w:r>
      <w:r>
        <w:rPr>
          <w:rFonts w:ascii="Calibri" w:hAnsi="Calibri" w:cs="Calibri"/>
        </w:rPr>
        <w:t>.</w:t>
      </w:r>
    </w:p>
    <w:p w14:paraId="1D7E1933" w14:textId="77777777" w:rsidR="00830E98" w:rsidRPr="00086CD7" w:rsidRDefault="00830E98" w:rsidP="00830E98">
      <w:pPr>
        <w:pStyle w:val="Paragraphedeliste"/>
        <w:numPr>
          <w:ilvl w:val="0"/>
          <w:numId w:val="24"/>
        </w:numPr>
        <w:jc w:val="both"/>
        <w:rPr>
          <w:rFonts w:ascii="Calibri" w:hAnsi="Calibri" w:cs="Calibri"/>
        </w:rPr>
      </w:pPr>
      <w:r w:rsidRPr="00086CD7">
        <w:rPr>
          <w:rFonts w:ascii="Calibri" w:hAnsi="Calibri" w:cs="Calibri"/>
          <w:color w:val="000000"/>
        </w:rPr>
        <w:t xml:space="preserve">En cas de mise à disposition, par une entreprise ou un organisme, de moyens pour la réalisation de tests en </w:t>
      </w:r>
      <w:proofErr w:type="gramStart"/>
      <w:r w:rsidRPr="00086CD7">
        <w:rPr>
          <w:rFonts w:ascii="Calibri" w:hAnsi="Calibri" w:cs="Calibri"/>
          <w:color w:val="000000"/>
        </w:rPr>
        <w:t>situation</w:t>
      </w:r>
      <w:proofErr w:type="gramEnd"/>
      <w:r w:rsidRPr="00086CD7">
        <w:rPr>
          <w:rFonts w:ascii="Calibri" w:hAnsi="Calibri" w:cs="Calibri"/>
          <w:color w:val="000000"/>
        </w:rPr>
        <w:t xml:space="preserve"> réelle, </w:t>
      </w:r>
      <w:r>
        <w:rPr>
          <w:rFonts w:ascii="Calibri" w:hAnsi="Calibri" w:cs="Calibri"/>
          <w:color w:val="000000"/>
        </w:rPr>
        <w:t>l</w:t>
      </w:r>
      <w:r w:rsidRPr="00086CD7">
        <w:rPr>
          <w:rFonts w:ascii="Calibri" w:hAnsi="Calibri" w:cs="Calibri"/>
          <w:color w:val="000000"/>
        </w:rPr>
        <w:t xml:space="preserve">es calculs de compensation pour perte de revenu ne sont pas retenus. </w:t>
      </w:r>
    </w:p>
    <w:p w14:paraId="09998655" w14:textId="77777777" w:rsidR="00830E98" w:rsidRPr="00086CD7" w:rsidRDefault="00830E98" w:rsidP="00830E98">
      <w:pPr>
        <w:pStyle w:val="Paragraphedeliste"/>
        <w:numPr>
          <w:ilvl w:val="0"/>
          <w:numId w:val="24"/>
        </w:numPr>
        <w:jc w:val="both"/>
        <w:rPr>
          <w:rFonts w:ascii="Calibri" w:hAnsi="Calibri" w:cs="Calibri"/>
        </w:rPr>
      </w:pPr>
      <w:r>
        <w:rPr>
          <w:rFonts w:ascii="Calibri" w:hAnsi="Calibri" w:cs="Calibri"/>
          <w:color w:val="000000"/>
        </w:rPr>
        <w:t>La TVA récupérable.</w:t>
      </w:r>
    </w:p>
    <w:p w14:paraId="61C32552" w14:textId="77777777" w:rsidR="00830E98" w:rsidRPr="00C069B9" w:rsidRDefault="00830E98" w:rsidP="00830E98">
      <w:pPr>
        <w:pStyle w:val="Paragraphedeliste"/>
        <w:numPr>
          <w:ilvl w:val="0"/>
          <w:numId w:val="24"/>
        </w:numPr>
        <w:jc w:val="both"/>
        <w:rPr>
          <w:rFonts w:ascii="Calibri" w:hAnsi="Calibri" w:cs="Calibri"/>
        </w:rPr>
      </w:pPr>
      <w:r>
        <w:rPr>
          <w:rFonts w:ascii="Calibri" w:hAnsi="Calibri" w:cs="Calibri"/>
        </w:rPr>
        <w:t>L’acquisition de terrains,</w:t>
      </w:r>
      <w:r w:rsidRPr="00C069B9">
        <w:rPr>
          <w:rFonts w:ascii="Calibri" w:hAnsi="Calibri" w:cs="Calibri"/>
        </w:rPr>
        <w:t xml:space="preserve"> biens immeubles</w:t>
      </w:r>
      <w:r>
        <w:rPr>
          <w:rFonts w:ascii="Calibri" w:hAnsi="Calibri" w:cs="Calibri"/>
        </w:rPr>
        <w:t>, infrastructures.</w:t>
      </w:r>
    </w:p>
    <w:p w14:paraId="167BAEB5" w14:textId="34F0CB17" w:rsidR="00830E98" w:rsidRDefault="00830E98" w:rsidP="00830E98">
      <w:pPr>
        <w:pStyle w:val="Paragraphedeliste"/>
        <w:numPr>
          <w:ilvl w:val="0"/>
          <w:numId w:val="24"/>
        </w:numPr>
        <w:jc w:val="both"/>
        <w:rPr>
          <w:rFonts w:ascii="Calibri" w:hAnsi="Calibri" w:cs="Calibri"/>
        </w:rPr>
      </w:pPr>
      <w:r>
        <w:rPr>
          <w:rFonts w:ascii="Calibri" w:hAnsi="Calibri" w:cs="Calibri"/>
        </w:rPr>
        <w:t xml:space="preserve">La </w:t>
      </w:r>
      <w:r w:rsidRPr="00C069B9">
        <w:rPr>
          <w:rFonts w:ascii="Calibri" w:hAnsi="Calibri" w:cs="Calibri"/>
        </w:rPr>
        <w:t>construction</w:t>
      </w:r>
      <w:r>
        <w:rPr>
          <w:rFonts w:ascii="Calibri" w:hAnsi="Calibri" w:cs="Calibri"/>
        </w:rPr>
        <w:t xml:space="preserve"> et l’acquisition</w:t>
      </w:r>
      <w:r w:rsidRPr="00C069B9">
        <w:rPr>
          <w:rFonts w:ascii="Calibri" w:hAnsi="Calibri" w:cs="Calibri"/>
        </w:rPr>
        <w:t xml:space="preserve"> de bâtiments</w:t>
      </w:r>
      <w:r>
        <w:rPr>
          <w:rFonts w:ascii="Calibri" w:hAnsi="Calibri" w:cs="Calibri"/>
        </w:rPr>
        <w:t>.</w:t>
      </w:r>
    </w:p>
    <w:p w14:paraId="14AC11F1" w14:textId="3B311FB6" w:rsidR="00830E98" w:rsidRPr="00C069B9" w:rsidRDefault="00830E98" w:rsidP="00830E98">
      <w:pPr>
        <w:pStyle w:val="Paragraphedeliste"/>
        <w:numPr>
          <w:ilvl w:val="0"/>
          <w:numId w:val="24"/>
        </w:numPr>
        <w:jc w:val="both"/>
        <w:rPr>
          <w:rFonts w:ascii="Calibri" w:hAnsi="Calibri" w:cs="Calibri"/>
        </w:rPr>
      </w:pPr>
      <w:r w:rsidRPr="00830E98">
        <w:rPr>
          <w:rFonts w:ascii="Calibri" w:hAnsi="Calibri" w:cs="Calibri"/>
        </w:rPr>
        <w:t>L’acquisition de véhicules</w:t>
      </w:r>
    </w:p>
    <w:p w14:paraId="4D573819" w14:textId="77777777" w:rsidR="00244C64" w:rsidRPr="008829A7" w:rsidRDefault="00244C64" w:rsidP="00244C64">
      <w:pPr>
        <w:spacing w:after="120" w:line="240" w:lineRule="auto"/>
        <w:jc w:val="both"/>
        <w:rPr>
          <w:b/>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8" w:name="_Hlk123205307"/>
      <w:r w:rsidRPr="006C11A0">
        <w:rPr>
          <w:b/>
          <w:sz w:val="32"/>
          <w:szCs w:val="32"/>
        </w:rPr>
        <w:t xml:space="preserve">4. </w:t>
      </w:r>
      <w:r w:rsidR="006C1481" w:rsidRPr="006C11A0">
        <w:rPr>
          <w:b/>
          <w:sz w:val="32"/>
          <w:szCs w:val="32"/>
        </w:rPr>
        <w:t xml:space="preserve">Critères de sélection  </w:t>
      </w:r>
      <w:bookmarkEnd w:id="8"/>
    </w:p>
    <w:p w14:paraId="5ADBBCFF" w14:textId="78CC94BF" w:rsidR="002C6A41" w:rsidRPr="004921ED" w:rsidRDefault="003F388F" w:rsidP="006C11A0">
      <w:pPr>
        <w:spacing w:after="0"/>
        <w:jc w:val="both"/>
      </w:pPr>
      <w:r w:rsidRPr="004921ED">
        <w:t>Toute action éligible porté par un bénéficiaire éligible, tels que définis dans les points précédents, peut bénéficier d’une aide du FEAMPA, dans la limite de l’enveloppe dédiée à cet appel à projets.</w:t>
      </w:r>
    </w:p>
    <w:p w14:paraId="278330CD" w14:textId="6EF3FF89" w:rsidR="003F388F" w:rsidRPr="004921ED" w:rsidRDefault="003F388F" w:rsidP="002C6A41">
      <w:pPr>
        <w:spacing w:after="0"/>
        <w:ind w:left="284"/>
        <w:jc w:val="both"/>
      </w:pPr>
    </w:p>
    <w:p w14:paraId="08E8DA85" w14:textId="77777777" w:rsidR="00830E98" w:rsidRPr="004921ED" w:rsidRDefault="00830E98" w:rsidP="00830E98">
      <w:pPr>
        <w:spacing w:after="0"/>
        <w:jc w:val="both"/>
        <w:rPr>
          <w:rFonts w:ascii="Calibri" w:hAnsi="Calibri" w:cs="Calibri"/>
        </w:rPr>
      </w:pPr>
      <w:r w:rsidRPr="004921ED">
        <w:rPr>
          <w:rFonts w:ascii="Calibri" w:hAnsi="Calibri" w:cs="Calibri"/>
        </w:rPr>
        <w:t xml:space="preserve">La qualité du consortium, l’adéquation des compétences des partenaires avec le projet présenté, le caractère novateur et la diffusion des résultats des projets sont des critères d’appréciation des projets dans le cadre de l’appel à projet. </w:t>
      </w:r>
    </w:p>
    <w:p w14:paraId="6813C8A0" w14:textId="77777777" w:rsidR="00830E98" w:rsidRPr="004921ED" w:rsidRDefault="00830E98" w:rsidP="00830E98">
      <w:pPr>
        <w:spacing w:after="0"/>
        <w:jc w:val="both"/>
        <w:rPr>
          <w:rFonts w:ascii="Calibri" w:hAnsi="Calibri" w:cs="Calibri"/>
        </w:rPr>
      </w:pPr>
    </w:p>
    <w:p w14:paraId="5A0497B0" w14:textId="1526F2C6" w:rsidR="00830E98" w:rsidRPr="004921ED" w:rsidRDefault="00830E98" w:rsidP="00830E98">
      <w:pPr>
        <w:spacing w:after="0"/>
        <w:jc w:val="both"/>
        <w:rPr>
          <w:rFonts w:ascii="Calibri" w:hAnsi="Calibri" w:cs="Calibri"/>
        </w:rPr>
      </w:pPr>
      <w:r w:rsidRPr="004921ED">
        <w:rPr>
          <w:rFonts w:ascii="Calibri" w:hAnsi="Calibri" w:cs="Calibri"/>
        </w:rPr>
        <w:lastRenderedPageBreak/>
        <w:t xml:space="preserve">La grille de sélection présentant les différents critères de sélection des projets est présentée en </w:t>
      </w:r>
      <w:r w:rsidRPr="00543A26">
        <w:rPr>
          <w:rFonts w:ascii="Calibri" w:hAnsi="Calibri" w:cs="Calibri"/>
        </w:rPr>
        <w:t>annexe</w:t>
      </w:r>
      <w:r w:rsidR="00140D1D">
        <w:rPr>
          <w:rFonts w:ascii="Calibri" w:hAnsi="Calibri" w:cs="Calibri"/>
        </w:rPr>
        <w:t xml:space="preserve"> 4</w:t>
      </w:r>
      <w:r w:rsidRPr="004921ED">
        <w:rPr>
          <w:rFonts w:ascii="Calibri" w:hAnsi="Calibri" w:cs="Calibri"/>
        </w:rPr>
        <w:t>.</w:t>
      </w:r>
    </w:p>
    <w:p w14:paraId="5B6A065E" w14:textId="77777777" w:rsidR="0076228D" w:rsidRPr="000A0896" w:rsidRDefault="0076228D" w:rsidP="00830E98">
      <w:pPr>
        <w:spacing w:after="0"/>
        <w:jc w:val="both"/>
        <w:rPr>
          <w:rFonts w:ascii="Calibri" w:hAnsi="Calibri" w:cs="Calibri"/>
        </w:rPr>
      </w:pPr>
    </w:p>
    <w:p w14:paraId="65A61ABC" w14:textId="77777777" w:rsidR="00830E98" w:rsidRPr="001C4D8D" w:rsidRDefault="00830E98" w:rsidP="00830E98">
      <w:pPr>
        <w:pStyle w:val="Titre2"/>
        <w:numPr>
          <w:ilvl w:val="0"/>
          <w:numId w:val="28"/>
        </w:numPr>
        <w:rPr>
          <w:rFonts w:ascii="Trebuchet MS" w:hAnsi="Trebuchet MS"/>
          <w:color w:val="auto"/>
          <w:sz w:val="22"/>
          <w:u w:val="single"/>
        </w:rPr>
      </w:pPr>
      <w:bookmarkStart w:id="9" w:name="_Toc135040507"/>
      <w:r>
        <w:rPr>
          <w:rFonts w:ascii="Trebuchet MS" w:hAnsi="Trebuchet MS"/>
          <w:color w:val="auto"/>
          <w:sz w:val="22"/>
          <w:u w:val="single"/>
        </w:rPr>
        <w:t>C</w:t>
      </w:r>
      <w:r w:rsidRPr="001C4D8D">
        <w:rPr>
          <w:rFonts w:ascii="Trebuchet MS" w:hAnsi="Trebuchet MS"/>
          <w:color w:val="auto"/>
          <w:sz w:val="22"/>
          <w:u w:val="single"/>
        </w:rPr>
        <w:t>aractère novateur des projets</w:t>
      </w:r>
      <w:bookmarkEnd w:id="9"/>
    </w:p>
    <w:p w14:paraId="305C86AC" w14:textId="77777777" w:rsidR="00830E98" w:rsidRDefault="00830E98" w:rsidP="00830E98">
      <w:pPr>
        <w:spacing w:after="0"/>
        <w:jc w:val="both"/>
      </w:pPr>
    </w:p>
    <w:p w14:paraId="68A74F4C" w14:textId="5CEC83FA" w:rsidR="00830E98" w:rsidRPr="00BF23D0" w:rsidRDefault="00830E98" w:rsidP="00830E98">
      <w:pPr>
        <w:spacing w:after="0"/>
        <w:jc w:val="both"/>
      </w:pPr>
      <w:r>
        <w:t>Les opérations financées doivent présenter un caractère innovant</w:t>
      </w:r>
      <w:r w:rsidR="00BF23D0">
        <w:t xml:space="preserve"> qui sera apprécié au moment </w:t>
      </w:r>
      <w:r w:rsidRPr="00BF23D0">
        <w:t>de la procédure de sélection.</w:t>
      </w:r>
    </w:p>
    <w:p w14:paraId="7599F624" w14:textId="77777777" w:rsidR="00830E98" w:rsidRPr="00C069B9" w:rsidRDefault="00830E98" w:rsidP="00830E98">
      <w:pPr>
        <w:spacing w:after="0"/>
        <w:jc w:val="both"/>
        <w:rPr>
          <w:rFonts w:ascii="Calibri" w:hAnsi="Calibri" w:cs="Calibri"/>
        </w:rPr>
      </w:pPr>
      <w:r w:rsidRPr="00C069B9">
        <w:rPr>
          <w:rFonts w:ascii="Calibri" w:hAnsi="Calibri" w:cs="Calibri"/>
        </w:rPr>
        <w:t>Les caractéristiques innovantes se définissent de la manière suivante</w:t>
      </w:r>
      <w:r>
        <w:rPr>
          <w:rFonts w:ascii="Calibri" w:hAnsi="Calibri" w:cs="Calibri"/>
        </w:rPr>
        <w:t xml:space="preserve"> (cf. annexe 1) </w:t>
      </w:r>
      <w:r w:rsidRPr="00C069B9">
        <w:rPr>
          <w:rFonts w:ascii="Calibri" w:hAnsi="Calibri" w:cs="Calibri"/>
        </w:rPr>
        <w:t>:</w:t>
      </w:r>
    </w:p>
    <w:p w14:paraId="2E84B39F" w14:textId="77777777" w:rsidR="00830E98" w:rsidRPr="00C069B9" w:rsidRDefault="00830E98" w:rsidP="00830E98">
      <w:pPr>
        <w:numPr>
          <w:ilvl w:val="0"/>
          <w:numId w:val="27"/>
        </w:numPr>
        <w:spacing w:after="0"/>
        <w:jc w:val="both"/>
        <w:rPr>
          <w:rFonts w:ascii="Calibri" w:hAnsi="Calibri" w:cs="Calibri"/>
        </w:rPr>
      </w:pPr>
      <w:r w:rsidRPr="00C069B9">
        <w:rPr>
          <w:rFonts w:ascii="Calibri" w:hAnsi="Calibri" w:cs="Calibri"/>
        </w:rPr>
        <w:t xml:space="preserve">Une innovation </w:t>
      </w:r>
      <w:r>
        <w:rPr>
          <w:rFonts w:ascii="Calibri" w:hAnsi="Calibri" w:cs="Calibri"/>
        </w:rPr>
        <w:t>de</w:t>
      </w:r>
      <w:r w:rsidRPr="00C069B9">
        <w:rPr>
          <w:rFonts w:ascii="Calibri" w:hAnsi="Calibri" w:cs="Calibri"/>
        </w:rPr>
        <w:t xml:space="preserve"> procédé nouveau ou </w:t>
      </w:r>
      <w:r>
        <w:rPr>
          <w:rFonts w:ascii="Calibri" w:hAnsi="Calibri" w:cs="Calibri"/>
        </w:rPr>
        <w:t>sensiblement</w:t>
      </w:r>
      <w:r w:rsidRPr="00C069B9">
        <w:rPr>
          <w:rFonts w:ascii="Calibri" w:hAnsi="Calibri" w:cs="Calibri"/>
        </w:rPr>
        <w:t xml:space="preserve"> amélioré (ou une combinaison des deux) qui diffère significativement de ce qui existe déjà et qui a été introduit sur le marché ou conçu par l’entreprise.</w:t>
      </w:r>
    </w:p>
    <w:p w14:paraId="33EBAE02" w14:textId="77777777" w:rsidR="00830E98" w:rsidRDefault="00830E98" w:rsidP="00830E98">
      <w:pPr>
        <w:numPr>
          <w:ilvl w:val="0"/>
          <w:numId w:val="27"/>
        </w:numPr>
        <w:spacing w:after="0"/>
        <w:jc w:val="both"/>
        <w:rPr>
          <w:rFonts w:ascii="Calibri" w:hAnsi="Calibri" w:cs="Calibri"/>
        </w:rPr>
      </w:pPr>
      <w:r w:rsidRPr="00C069B9">
        <w:rPr>
          <w:rFonts w:ascii="Calibri" w:hAnsi="Calibri" w:cs="Calibri"/>
        </w:rPr>
        <w:t>Une innovation</w:t>
      </w:r>
      <w:r>
        <w:rPr>
          <w:rFonts w:ascii="Calibri" w:hAnsi="Calibri" w:cs="Calibri"/>
        </w:rPr>
        <w:t xml:space="preserve"> de</w:t>
      </w:r>
      <w:r w:rsidRPr="00C069B9">
        <w:rPr>
          <w:rFonts w:ascii="Calibri" w:hAnsi="Calibri" w:cs="Calibri"/>
        </w:rPr>
        <w:t xml:space="preserve"> produit nouveau ou </w:t>
      </w:r>
      <w:r>
        <w:rPr>
          <w:rFonts w:ascii="Calibri" w:hAnsi="Calibri" w:cs="Calibri"/>
        </w:rPr>
        <w:t>sensiblement</w:t>
      </w:r>
      <w:r w:rsidRPr="00C069B9">
        <w:rPr>
          <w:rFonts w:ascii="Calibri" w:hAnsi="Calibri" w:cs="Calibri"/>
        </w:rPr>
        <w:t xml:space="preserve"> amélioré qui diffère significativement de ce qui existe déjà et qui a été introduit sur le marché ou conçu par l’entreprise.</w:t>
      </w:r>
    </w:p>
    <w:p w14:paraId="737F54FF" w14:textId="77777777" w:rsidR="00830E98" w:rsidRPr="00C069B9" w:rsidRDefault="00830E98" w:rsidP="00830E98">
      <w:pPr>
        <w:spacing w:after="0"/>
        <w:jc w:val="both"/>
        <w:rPr>
          <w:rFonts w:ascii="Calibri" w:hAnsi="Calibri" w:cs="Calibri"/>
        </w:rPr>
      </w:pPr>
    </w:p>
    <w:p w14:paraId="76ECA568" w14:textId="77777777" w:rsidR="00830E98" w:rsidRPr="00535444" w:rsidRDefault="00830E98" w:rsidP="00830E98">
      <w:pPr>
        <w:pStyle w:val="Titre2"/>
        <w:numPr>
          <w:ilvl w:val="0"/>
          <w:numId w:val="28"/>
        </w:numPr>
        <w:rPr>
          <w:rFonts w:ascii="Trebuchet MS" w:hAnsi="Trebuchet MS"/>
          <w:color w:val="auto"/>
          <w:sz w:val="22"/>
          <w:u w:val="single"/>
        </w:rPr>
      </w:pPr>
      <w:bookmarkStart w:id="10" w:name="_Toc135040508"/>
      <w:r w:rsidRPr="00535444">
        <w:rPr>
          <w:rFonts w:ascii="Trebuchet MS" w:hAnsi="Trebuchet MS"/>
          <w:color w:val="auto"/>
          <w:sz w:val="22"/>
          <w:u w:val="single"/>
        </w:rPr>
        <w:t>Degré de maturité technologique des projets</w:t>
      </w:r>
      <w:bookmarkEnd w:id="10"/>
    </w:p>
    <w:p w14:paraId="6F9280D6" w14:textId="77777777" w:rsidR="00830E98" w:rsidRDefault="00830E98" w:rsidP="00830E98">
      <w:pPr>
        <w:spacing w:after="0"/>
        <w:jc w:val="both"/>
        <w:rPr>
          <w:rFonts w:ascii="Calibri" w:hAnsi="Calibri" w:cs="Calibri"/>
        </w:rPr>
      </w:pPr>
    </w:p>
    <w:p w14:paraId="62658DE6" w14:textId="31E80DB4" w:rsidR="00830E98" w:rsidRPr="00C069B9" w:rsidRDefault="00830E98" w:rsidP="00830E98">
      <w:pPr>
        <w:spacing w:after="0"/>
        <w:jc w:val="both"/>
        <w:rPr>
          <w:rFonts w:ascii="Calibri" w:hAnsi="Calibri" w:cs="Calibri"/>
        </w:rPr>
      </w:pPr>
      <w:r w:rsidRPr="00BF23D0">
        <w:rPr>
          <w:rFonts w:ascii="Calibri" w:hAnsi="Calibri" w:cs="Calibri"/>
        </w:rPr>
        <w:t xml:space="preserve">Les projets doivent se situer en fin de cycle innovation et viser une mise sur le marché ou une utilisation dans les 3 ans </w:t>
      </w:r>
      <w:r w:rsidR="00BF23D0">
        <w:rPr>
          <w:rFonts w:ascii="Calibri" w:hAnsi="Calibri" w:cs="Calibri"/>
        </w:rPr>
        <w:t xml:space="preserve">maximum </w:t>
      </w:r>
      <w:r w:rsidRPr="00BF23D0">
        <w:rPr>
          <w:rFonts w:ascii="Calibri" w:hAnsi="Calibri" w:cs="Calibri"/>
        </w:rPr>
        <w:t xml:space="preserve">après la fin du projet. </w:t>
      </w:r>
      <w:r w:rsidRPr="00543A26">
        <w:rPr>
          <w:rFonts w:ascii="Calibri" w:hAnsi="Calibri" w:cs="Calibri"/>
        </w:rPr>
        <w:t xml:space="preserve">Ce dernier doit ainsi revêtir un degré de maturité technologique suffisant qui lui permet de s’inscrire </w:t>
      </w:r>
      <w:r w:rsidRPr="00543A26">
        <w:rPr>
          <w:rFonts w:ascii="Calibri" w:hAnsi="Calibri" w:cs="Calibri"/>
          <w:b/>
        </w:rPr>
        <w:t>à partir du niveau 4 de l’échelle de degré de maturité technologique dite échelle TRL</w:t>
      </w:r>
      <w:r w:rsidRPr="00543A26">
        <w:rPr>
          <w:rFonts w:ascii="Calibri" w:hAnsi="Calibri" w:cs="Calibri"/>
        </w:rPr>
        <w:t xml:space="preserve"> (</w:t>
      </w:r>
      <w:proofErr w:type="spellStart"/>
      <w:r w:rsidRPr="00543A26">
        <w:rPr>
          <w:rFonts w:ascii="Calibri" w:hAnsi="Calibri" w:cs="Calibri"/>
        </w:rPr>
        <w:t>Technology</w:t>
      </w:r>
      <w:proofErr w:type="spellEnd"/>
      <w:r w:rsidRPr="00543A26">
        <w:rPr>
          <w:rFonts w:ascii="Calibri" w:hAnsi="Calibri" w:cs="Calibri"/>
        </w:rPr>
        <w:t xml:space="preserve"> </w:t>
      </w:r>
      <w:proofErr w:type="spellStart"/>
      <w:r w:rsidRPr="00543A26">
        <w:rPr>
          <w:rFonts w:ascii="Calibri" w:hAnsi="Calibri" w:cs="Calibri"/>
        </w:rPr>
        <w:t>Readiness</w:t>
      </w:r>
      <w:proofErr w:type="spellEnd"/>
      <w:r w:rsidRPr="00543A26">
        <w:rPr>
          <w:rFonts w:ascii="Calibri" w:hAnsi="Calibri" w:cs="Calibri"/>
        </w:rPr>
        <w:t xml:space="preserve"> </w:t>
      </w:r>
      <w:proofErr w:type="spellStart"/>
      <w:r w:rsidRPr="00543A26">
        <w:rPr>
          <w:rFonts w:ascii="Calibri" w:hAnsi="Calibri" w:cs="Calibri"/>
        </w:rPr>
        <w:t>Level</w:t>
      </w:r>
      <w:proofErr w:type="spellEnd"/>
      <w:r w:rsidRPr="00543A26">
        <w:rPr>
          <w:rFonts w:ascii="Calibri" w:hAnsi="Calibri" w:cs="Calibri"/>
        </w:rPr>
        <w:t xml:space="preserve">) en annexe </w:t>
      </w:r>
      <w:r w:rsidR="00140D1D">
        <w:rPr>
          <w:rFonts w:ascii="Calibri" w:hAnsi="Calibri" w:cs="Calibri"/>
        </w:rPr>
        <w:t>5</w:t>
      </w:r>
      <w:r w:rsidRPr="00543A26">
        <w:rPr>
          <w:rFonts w:ascii="Calibri" w:hAnsi="Calibri" w:cs="Calibri"/>
        </w:rPr>
        <w:t>. Un projet qui comporte plusieurs niveaux de l’échelle TRL est éligible dès lors que la majorité du projet se situe au-delà du niveau 4 de l’échelle TRL.</w:t>
      </w:r>
      <w:r w:rsidRPr="00C069B9">
        <w:rPr>
          <w:rFonts w:ascii="Calibri" w:hAnsi="Calibri" w:cs="Calibri"/>
        </w:rPr>
        <w:t xml:space="preserve"> </w:t>
      </w:r>
    </w:p>
    <w:p w14:paraId="6D0189A4" w14:textId="77777777" w:rsidR="00830E98" w:rsidRPr="00C069B9" w:rsidRDefault="00830E98" w:rsidP="00830E98">
      <w:pPr>
        <w:spacing w:after="0"/>
        <w:jc w:val="both"/>
        <w:rPr>
          <w:rFonts w:ascii="Calibri" w:hAnsi="Calibri" w:cs="Calibri"/>
        </w:rPr>
      </w:pPr>
    </w:p>
    <w:p w14:paraId="6F0A57A7" w14:textId="77777777" w:rsidR="00830E98" w:rsidRDefault="00830E98" w:rsidP="00830E98">
      <w:pPr>
        <w:spacing w:after="0"/>
        <w:jc w:val="both"/>
        <w:rPr>
          <w:rFonts w:ascii="Calibri" w:hAnsi="Calibri" w:cs="Calibri"/>
        </w:rPr>
      </w:pPr>
      <w:r w:rsidRPr="00C069B9">
        <w:rPr>
          <w:rFonts w:ascii="Calibri" w:hAnsi="Calibri" w:cs="Calibri"/>
        </w:rPr>
        <w:t>Les projets qui seraient uniquement dédiés à de l’acquisition de connaissance</w:t>
      </w:r>
      <w:r>
        <w:rPr>
          <w:rFonts w:ascii="Calibri" w:hAnsi="Calibri" w:cs="Calibri"/>
        </w:rPr>
        <w:t xml:space="preserve"> ou à de la collecte de données</w:t>
      </w:r>
      <w:r w:rsidRPr="00C069B9">
        <w:rPr>
          <w:rFonts w:ascii="Calibri" w:hAnsi="Calibri" w:cs="Calibri"/>
        </w:rPr>
        <w:t xml:space="preserve"> sans objectif de développement d’un nouveau produit, procédé, technologie ou organisation, ne sont pas considérés comme des projets innovants au titre de cette mesure.</w:t>
      </w:r>
    </w:p>
    <w:p w14:paraId="7AD1A444" w14:textId="77777777" w:rsidR="00830E98" w:rsidRDefault="00830E98" w:rsidP="00830E98">
      <w:pPr>
        <w:spacing w:after="0"/>
        <w:jc w:val="both"/>
        <w:rPr>
          <w:rFonts w:ascii="Calibri" w:hAnsi="Calibri" w:cs="Calibri"/>
        </w:rPr>
      </w:pPr>
      <w:r>
        <w:rPr>
          <w:rFonts w:ascii="Calibri" w:hAnsi="Calibri" w:cs="Calibri"/>
        </w:rPr>
        <w:t>Néanmoins, si une partie du projet est dédiée au développement d’un équipement et/ou d’une pratique innovante, l’acquisition de connaissances permettant de calibrer ou mettre au point cet équipement et/ou cette pratique innovante ou en lien direct avec l’évaluation de l’efficacité de cet équipement et/ou de cette pratique peut constituer une partie du projet.</w:t>
      </w:r>
    </w:p>
    <w:p w14:paraId="721F6468" w14:textId="77777777" w:rsidR="00830E98" w:rsidRPr="00C069B9" w:rsidRDefault="00830E98" w:rsidP="00830E98">
      <w:pPr>
        <w:spacing w:after="0"/>
        <w:rPr>
          <w:rFonts w:ascii="Calibri" w:hAnsi="Calibri" w:cs="Calibri"/>
        </w:rPr>
      </w:pPr>
    </w:p>
    <w:p w14:paraId="395BED35" w14:textId="77777777" w:rsidR="00830E98" w:rsidRPr="001C4D8D" w:rsidRDefault="00830E98" w:rsidP="00830E98">
      <w:pPr>
        <w:pStyle w:val="Titre2"/>
        <w:numPr>
          <w:ilvl w:val="0"/>
          <w:numId w:val="28"/>
        </w:numPr>
        <w:rPr>
          <w:rFonts w:ascii="Trebuchet MS" w:hAnsi="Trebuchet MS"/>
          <w:color w:val="auto"/>
          <w:sz w:val="22"/>
          <w:u w:val="single"/>
        </w:rPr>
      </w:pPr>
      <w:bookmarkStart w:id="11" w:name="_Toc135040509"/>
      <w:r>
        <w:rPr>
          <w:rFonts w:ascii="Trebuchet MS" w:hAnsi="Trebuchet MS"/>
          <w:color w:val="auto"/>
          <w:sz w:val="22"/>
          <w:u w:val="single"/>
        </w:rPr>
        <w:t>Intérêt collectif et d</w:t>
      </w:r>
      <w:r w:rsidRPr="001C4D8D">
        <w:rPr>
          <w:rFonts w:ascii="Trebuchet MS" w:hAnsi="Trebuchet MS"/>
          <w:color w:val="auto"/>
          <w:sz w:val="22"/>
          <w:u w:val="single"/>
        </w:rPr>
        <w:t>iffusion des résultats</w:t>
      </w:r>
      <w:bookmarkEnd w:id="11"/>
    </w:p>
    <w:p w14:paraId="16A7D4CF" w14:textId="77777777" w:rsidR="00830E98" w:rsidRDefault="00830E98" w:rsidP="00830E98">
      <w:pPr>
        <w:spacing w:after="0"/>
        <w:rPr>
          <w:rFonts w:ascii="Calibri" w:hAnsi="Calibri" w:cs="Calibri"/>
        </w:rPr>
      </w:pPr>
    </w:p>
    <w:p w14:paraId="3F9BD8C6" w14:textId="77777777" w:rsidR="00830E98" w:rsidRDefault="00830E98" w:rsidP="00830E98">
      <w:pPr>
        <w:jc w:val="both"/>
        <w:rPr>
          <w:rFonts w:ascii="Calibri" w:hAnsi="Calibri" w:cs="Calibri"/>
        </w:rPr>
      </w:pPr>
      <w:r>
        <w:rPr>
          <w:rFonts w:ascii="Calibri" w:hAnsi="Calibri" w:cs="Calibri"/>
        </w:rPr>
        <w:t>Les projets déposés à l’appel à projet doivent être d’intérêt collectif</w:t>
      </w:r>
      <w:r w:rsidRPr="00F018CA">
        <w:rPr>
          <w:rStyle w:val="Appelnotedebasdep"/>
          <w:rFonts w:ascii="Calibri" w:hAnsi="Calibri" w:cs="Calibri"/>
          <w:color w:val="FF0000"/>
        </w:rPr>
        <w:footnoteReference w:id="4"/>
      </w:r>
      <w:r w:rsidRPr="00F018CA">
        <w:rPr>
          <w:rFonts w:ascii="Calibri" w:hAnsi="Calibri" w:cs="Calibri"/>
          <w:color w:val="FF0000"/>
        </w:rPr>
        <w:t xml:space="preserve"> </w:t>
      </w:r>
      <w:r>
        <w:rPr>
          <w:rFonts w:ascii="Calibri" w:hAnsi="Calibri" w:cs="Calibri"/>
        </w:rPr>
        <w:t>et répondre à un enjeu des filières halieutiques.</w:t>
      </w:r>
    </w:p>
    <w:p w14:paraId="58D7FA05" w14:textId="77777777" w:rsidR="00830E98" w:rsidRDefault="00830E98" w:rsidP="00830E98">
      <w:pPr>
        <w:spacing w:after="0"/>
        <w:jc w:val="both"/>
        <w:rPr>
          <w:rFonts w:ascii="Calibri" w:hAnsi="Calibri" w:cs="Calibri"/>
        </w:rPr>
      </w:pPr>
      <w:r>
        <w:rPr>
          <w:rFonts w:ascii="Calibri" w:hAnsi="Calibri" w:cs="Calibri"/>
        </w:rPr>
        <w:t>Les innovations développées doivent être au service des professionnels et devront être utilisables par les entreprises du secteur. Le transfert des données et résultats du projet auprès du public cible professionnel devra faire partie intégrante du projet. La méthodologie prévue et les outils à mettre en place devront être décrits. Ils feront l’objet d’une attention particulière lors de la sélection des projets.</w:t>
      </w:r>
    </w:p>
    <w:p w14:paraId="709F86B4" w14:textId="77777777" w:rsidR="00830E98" w:rsidRDefault="00830E98" w:rsidP="00830E98">
      <w:pPr>
        <w:spacing w:after="0"/>
        <w:jc w:val="both"/>
        <w:rPr>
          <w:rFonts w:ascii="Calibri" w:hAnsi="Calibri" w:cs="Calibri"/>
        </w:rPr>
      </w:pPr>
    </w:p>
    <w:p w14:paraId="4F5B6366" w14:textId="3A6E9188" w:rsidR="006C1481" w:rsidRPr="006C11A0" w:rsidRDefault="00B3429D" w:rsidP="00F15029">
      <w:pPr>
        <w:ind w:left="284" w:firstLine="425"/>
        <w:jc w:val="both"/>
        <w:rPr>
          <w:bCs/>
          <w:sz w:val="32"/>
          <w:szCs w:val="32"/>
        </w:rPr>
      </w:pPr>
      <w:r w:rsidRPr="006C11A0">
        <w:rPr>
          <w:b/>
          <w:sz w:val="32"/>
          <w:szCs w:val="32"/>
        </w:rPr>
        <w:t xml:space="preserve">5. </w:t>
      </w:r>
      <w:bookmarkStart w:id="12" w:name="_Hlk123206097"/>
      <w:r w:rsidR="00C92269">
        <w:rPr>
          <w:b/>
          <w:sz w:val="32"/>
          <w:szCs w:val="32"/>
        </w:rPr>
        <w:t>Modalités d’attribution des aides publiques</w:t>
      </w:r>
    </w:p>
    <w:bookmarkEnd w:id="12"/>
    <w:p w14:paraId="64F1C504" w14:textId="5A305829" w:rsidR="0054294B" w:rsidRPr="00543A26" w:rsidRDefault="0054294B" w:rsidP="006C11A0">
      <w:pPr>
        <w:suppressAutoHyphens/>
        <w:autoSpaceDN w:val="0"/>
        <w:spacing w:after="0" w:line="256" w:lineRule="auto"/>
        <w:jc w:val="both"/>
        <w:textAlignment w:val="baseline"/>
        <w:rPr>
          <w:bCs/>
        </w:rPr>
      </w:pPr>
      <w:r w:rsidRPr="00543A26">
        <w:rPr>
          <w:bCs/>
        </w:rPr>
        <w:t xml:space="preserve">Le taux d’intensité d’aides publiques (FEAMPA + contrepartie nationale) applicable est de </w:t>
      </w:r>
      <w:r w:rsidR="00D5597E">
        <w:rPr>
          <w:bCs/>
        </w:rPr>
        <w:t>100</w:t>
      </w:r>
      <w:r w:rsidR="0085525C" w:rsidRPr="00543A26">
        <w:rPr>
          <w:bCs/>
        </w:rPr>
        <w:t xml:space="preserve"> </w:t>
      </w:r>
      <w:r w:rsidRPr="00543A26">
        <w:rPr>
          <w:bCs/>
        </w:rPr>
        <w:t>% du coût total éligible.</w:t>
      </w:r>
    </w:p>
    <w:p w14:paraId="6B031E17" w14:textId="56B7F078" w:rsidR="0054294B" w:rsidRDefault="0054294B" w:rsidP="0054294B">
      <w:pPr>
        <w:suppressAutoHyphens/>
        <w:autoSpaceDN w:val="0"/>
        <w:spacing w:after="0" w:line="256" w:lineRule="auto"/>
        <w:jc w:val="both"/>
        <w:textAlignment w:val="baseline"/>
        <w:rPr>
          <w:bCs/>
        </w:rPr>
      </w:pPr>
      <w:r w:rsidRPr="00543A26">
        <w:rPr>
          <w:bCs/>
        </w:rPr>
        <w:t>Le taux de cofinancement du FEAMPA est fixé à 70% de l’intensité d’aides publiques. La contrepartie nationale de 30% est apportée</w:t>
      </w:r>
      <w:r w:rsidRPr="00F018CA">
        <w:rPr>
          <w:bCs/>
        </w:rPr>
        <w:t xml:space="preserve"> par la Région</w:t>
      </w:r>
      <w:r w:rsidR="0087184B">
        <w:rPr>
          <w:bCs/>
        </w:rPr>
        <w:t xml:space="preserve"> et l’Etat</w:t>
      </w:r>
      <w:r w:rsidRPr="00F018CA">
        <w:rPr>
          <w:bCs/>
        </w:rPr>
        <w:t>.</w:t>
      </w:r>
    </w:p>
    <w:p w14:paraId="2D22BE4F" w14:textId="77777777" w:rsidR="00543A26" w:rsidRPr="00F018CA" w:rsidRDefault="00543A26" w:rsidP="0054294B">
      <w:pPr>
        <w:suppressAutoHyphens/>
        <w:autoSpaceDN w:val="0"/>
        <w:spacing w:after="0" w:line="256" w:lineRule="auto"/>
        <w:jc w:val="both"/>
        <w:textAlignment w:val="baseline"/>
        <w:rPr>
          <w:bCs/>
        </w:rPr>
      </w:pPr>
    </w:p>
    <w:p w14:paraId="17FFDE27" w14:textId="6A751644" w:rsidR="005002B2" w:rsidRPr="00F018CA" w:rsidRDefault="005002B2" w:rsidP="0054294B">
      <w:pPr>
        <w:suppressAutoHyphens/>
        <w:autoSpaceDN w:val="0"/>
        <w:spacing w:after="0" w:line="256" w:lineRule="auto"/>
        <w:jc w:val="both"/>
        <w:textAlignment w:val="baseline"/>
        <w:rPr>
          <w:bCs/>
        </w:rPr>
      </w:pPr>
      <w:r w:rsidRPr="00F018CA">
        <w:rPr>
          <w:bCs/>
        </w:rPr>
        <w:t>Un plancher d’éligibilité de 5 000 € d’aides publiques est appliqué par projet.</w:t>
      </w:r>
    </w:p>
    <w:p w14:paraId="2A202603" w14:textId="1A616982" w:rsidR="0054294B" w:rsidRDefault="0054294B" w:rsidP="0054294B">
      <w:pPr>
        <w:suppressAutoHyphens/>
        <w:autoSpaceDN w:val="0"/>
        <w:spacing w:after="0" w:line="256" w:lineRule="auto"/>
        <w:jc w:val="both"/>
        <w:textAlignment w:val="baseline"/>
        <w:rPr>
          <w:bCs/>
        </w:rPr>
      </w:pPr>
      <w:r w:rsidRPr="00F018CA">
        <w:rPr>
          <w:bCs/>
        </w:rPr>
        <w:t xml:space="preserve">L’enveloppe maximale dédiée à cet appel à projets est de </w:t>
      </w:r>
      <w:r w:rsidR="004F6155" w:rsidRPr="00F018CA">
        <w:rPr>
          <w:b/>
        </w:rPr>
        <w:t>25</w:t>
      </w:r>
      <w:r w:rsidR="00244C64" w:rsidRPr="00F018CA">
        <w:rPr>
          <w:b/>
        </w:rPr>
        <w:t>0</w:t>
      </w:r>
      <w:r w:rsidR="005002B2" w:rsidRPr="00F018CA">
        <w:rPr>
          <w:b/>
        </w:rPr>
        <w:t> 000</w:t>
      </w:r>
      <w:r w:rsidR="005002B2" w:rsidRPr="00F018CA">
        <w:rPr>
          <w:bCs/>
        </w:rPr>
        <w:t xml:space="preserve"> </w:t>
      </w:r>
      <w:r w:rsidRPr="00543A26">
        <w:rPr>
          <w:b/>
        </w:rPr>
        <w:t>€</w:t>
      </w:r>
      <w:r w:rsidR="00543A26" w:rsidRPr="00543A26">
        <w:rPr>
          <w:bCs/>
        </w:rPr>
        <w:t xml:space="preserve"> d’aides publiques (FEAMPA</w:t>
      </w:r>
      <w:r w:rsidR="00C24F14">
        <w:rPr>
          <w:bCs/>
        </w:rPr>
        <w:t xml:space="preserve"> </w:t>
      </w:r>
      <w:r w:rsidR="00543A26" w:rsidRPr="00543A26">
        <w:rPr>
          <w:bCs/>
        </w:rPr>
        <w:t>+</w:t>
      </w:r>
      <w:r w:rsidR="00C24F14">
        <w:rPr>
          <w:bCs/>
        </w:rPr>
        <w:t xml:space="preserve"> </w:t>
      </w:r>
      <w:r w:rsidR="00543A26" w:rsidRPr="00543A26">
        <w:rPr>
          <w:bCs/>
        </w:rPr>
        <w:t>Région</w:t>
      </w:r>
      <w:r w:rsidR="00C24F14">
        <w:rPr>
          <w:bCs/>
        </w:rPr>
        <w:t xml:space="preserve"> </w:t>
      </w:r>
      <w:r w:rsidR="00D90B95">
        <w:rPr>
          <w:bCs/>
        </w:rPr>
        <w:t>+</w:t>
      </w:r>
      <w:r w:rsidR="00C24F14">
        <w:rPr>
          <w:bCs/>
        </w:rPr>
        <w:t xml:space="preserve"> </w:t>
      </w:r>
      <w:r w:rsidR="00D90B95">
        <w:rPr>
          <w:bCs/>
        </w:rPr>
        <w:t>Etat</w:t>
      </w:r>
      <w:r w:rsidR="00543A26" w:rsidRPr="00543A26">
        <w:rPr>
          <w:bCs/>
        </w:rPr>
        <w:t>)</w:t>
      </w:r>
      <w:r w:rsidRPr="00543A26">
        <w:rPr>
          <w:bCs/>
        </w:rPr>
        <w:t>.</w:t>
      </w:r>
      <w:r w:rsidRPr="00F018CA">
        <w:rPr>
          <w:bCs/>
        </w:rPr>
        <w:t xml:space="preserve">  </w:t>
      </w:r>
    </w:p>
    <w:p w14:paraId="206EC4A8" w14:textId="77777777" w:rsidR="00DE1B85" w:rsidRDefault="00DE1B85" w:rsidP="0054294B">
      <w:pPr>
        <w:suppressAutoHyphens/>
        <w:autoSpaceDN w:val="0"/>
        <w:spacing w:after="0" w:line="256" w:lineRule="auto"/>
        <w:jc w:val="both"/>
        <w:textAlignment w:val="baseline"/>
        <w:rPr>
          <w:bCs/>
        </w:rPr>
      </w:pPr>
    </w:p>
    <w:p w14:paraId="27F269E2" w14:textId="44BF4503" w:rsidR="00830E98" w:rsidRDefault="00DE1B85" w:rsidP="00DE1B85">
      <w:pPr>
        <w:rPr>
          <w:rFonts w:ascii="Calibri" w:hAnsi="Calibri" w:cs="Calibri"/>
          <w:color w:val="000000"/>
        </w:rPr>
      </w:pPr>
      <w:r>
        <w:t xml:space="preserve">Les projets d’innovation sont majoritairement considérés comme des projets de recherche et développement qui ne relèveront pas de l’article 42 du </w:t>
      </w:r>
      <w:r w:rsidRPr="00F94650">
        <w:t>Traité sur le Fonctionnement de l’Union Européenne (TFUE)</w:t>
      </w:r>
      <w:r>
        <w:t xml:space="preserve">. Ce qui implique que tous les projets d’innovation relèvent de la règlementation des aides d’Etat qui pourront avoir deux adossement </w:t>
      </w:r>
      <w:r>
        <w:lastRenderedPageBreak/>
        <w:t>juridique possibles, à savoir le règlement d’exemption pêche aqua UE 2022-2473 décliné au niveau régional (RCE n° SA 110</w:t>
      </w:r>
      <w:r w:rsidR="00535444">
        <w:t> </w:t>
      </w:r>
      <w:r>
        <w:t>224</w:t>
      </w:r>
      <w:r w:rsidR="00535444">
        <w:t xml:space="preserve"> pour la Région Provence-Alpes-Côte d’Azur</w:t>
      </w:r>
      <w:r>
        <w:t xml:space="preserve">), ou le </w:t>
      </w:r>
      <w:r w:rsidRPr="00DE1B85">
        <w:rPr>
          <w:rFonts w:ascii="Calibri" w:hAnsi="Calibri" w:cs="Calibri"/>
          <w:color w:val="000000"/>
        </w:rPr>
        <w:t xml:space="preserve">Régime cadre exempté de notification N° SA. 111723 </w:t>
      </w:r>
      <w:proofErr w:type="gramStart"/>
      <w:r w:rsidRPr="00DE1B85">
        <w:rPr>
          <w:rFonts w:ascii="Calibri" w:hAnsi="Calibri" w:cs="Calibri"/>
          <w:color w:val="000000"/>
        </w:rPr>
        <w:t>relatif</w:t>
      </w:r>
      <w:proofErr w:type="gramEnd"/>
      <w:r w:rsidRPr="00DE1B85">
        <w:rPr>
          <w:rFonts w:ascii="Calibri" w:hAnsi="Calibri" w:cs="Calibri"/>
          <w:color w:val="000000"/>
        </w:rPr>
        <w:t xml:space="preserve"> aux aides à la recherche, au développement et à l’innovation (RDI) pour la période 2024-2026</w:t>
      </w:r>
      <w:r>
        <w:rPr>
          <w:rFonts w:ascii="Calibri" w:hAnsi="Calibri" w:cs="Calibri"/>
          <w:color w:val="000000"/>
        </w:rPr>
        <w:t>.</w:t>
      </w:r>
    </w:p>
    <w:p w14:paraId="0C828C5A" w14:textId="77777777" w:rsidR="00DE1B85" w:rsidRDefault="00DE1B85" w:rsidP="00DE1B85">
      <w:pPr>
        <w:rPr>
          <w:rFonts w:ascii="Calibri" w:hAnsi="Calibri" w:cs="Calibri"/>
          <w:color w:val="000000"/>
        </w:rPr>
      </w:pPr>
    </w:p>
    <w:p w14:paraId="0BBE46FE" w14:textId="567DA680" w:rsidR="00C92269" w:rsidRDefault="00C92269" w:rsidP="00D32D5E">
      <w:pPr>
        <w:suppressAutoHyphens/>
        <w:autoSpaceDN w:val="0"/>
        <w:spacing w:line="256" w:lineRule="auto"/>
        <w:ind w:firstLine="708"/>
        <w:jc w:val="both"/>
        <w:textAlignment w:val="baseline"/>
        <w:rPr>
          <w:b/>
          <w:sz w:val="32"/>
          <w:szCs w:val="32"/>
        </w:rPr>
      </w:pPr>
      <w:r>
        <w:rPr>
          <w:b/>
          <w:sz w:val="32"/>
          <w:szCs w:val="32"/>
        </w:rPr>
        <w:t>6</w:t>
      </w:r>
      <w:r w:rsidR="006C11A0" w:rsidRPr="006C11A0">
        <w:rPr>
          <w:b/>
          <w:sz w:val="32"/>
          <w:szCs w:val="32"/>
        </w:rPr>
        <w:t xml:space="preserve">. </w:t>
      </w:r>
      <w:r>
        <w:rPr>
          <w:b/>
          <w:sz w:val="32"/>
          <w:szCs w:val="32"/>
        </w:rPr>
        <w:t xml:space="preserve">Procédure de mise en œuvre de dépôt du dossier de candidature à l’appel à projet </w:t>
      </w:r>
    </w:p>
    <w:p w14:paraId="55FB303D" w14:textId="77777777" w:rsidR="00244C64" w:rsidRDefault="00C15197" w:rsidP="00C15197">
      <w:pPr>
        <w:suppressAutoHyphens/>
        <w:autoSpaceDN w:val="0"/>
        <w:spacing w:after="0" w:line="256" w:lineRule="auto"/>
        <w:textAlignment w:val="baseline"/>
        <w:rPr>
          <w:sz w:val="24"/>
          <w:szCs w:val="24"/>
        </w:rPr>
      </w:pPr>
      <w:r w:rsidRPr="00F15029">
        <w:rPr>
          <w:sz w:val="24"/>
          <w:szCs w:val="24"/>
        </w:rPr>
        <w:t>Le calendrier de dépôt</w:t>
      </w:r>
      <w:r w:rsidRPr="00C15197">
        <w:rPr>
          <w:sz w:val="24"/>
          <w:szCs w:val="24"/>
        </w:rPr>
        <w:t xml:space="preserve"> des dossiers du présent appel à projets est publié sur le site internet : </w:t>
      </w:r>
      <w:r>
        <w:rPr>
          <w:sz w:val="24"/>
          <w:szCs w:val="24"/>
        </w:rPr>
        <w:t xml:space="preserve">                                              </w:t>
      </w:r>
    </w:p>
    <w:p w14:paraId="40FC53C1" w14:textId="0BA384FF" w:rsidR="00C15197" w:rsidRPr="00244C64" w:rsidRDefault="00000000" w:rsidP="00C15197">
      <w:pPr>
        <w:suppressAutoHyphens/>
        <w:autoSpaceDN w:val="0"/>
        <w:spacing w:after="0" w:line="256" w:lineRule="auto"/>
        <w:textAlignment w:val="baseline"/>
        <w:rPr>
          <w:bCs/>
          <w:sz w:val="24"/>
          <w:szCs w:val="24"/>
        </w:rPr>
      </w:pPr>
      <w:hyperlink r:id="rId12" w:history="1">
        <w:r w:rsidR="00244C64" w:rsidRPr="00244C64">
          <w:rPr>
            <w:rStyle w:val="Lienhypertexte"/>
            <w:bCs/>
            <w:sz w:val="24"/>
            <w:szCs w:val="24"/>
          </w:rPr>
          <w:t>https://europe.maregionsud.fr/projets</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188A828A" w14:textId="01E45BBE" w:rsidR="00CE1F2E" w:rsidRDefault="00CE1F2E" w:rsidP="00C15197">
      <w:pPr>
        <w:suppressAutoHyphens/>
        <w:autoSpaceDN w:val="0"/>
        <w:spacing w:after="0" w:line="256" w:lineRule="auto"/>
        <w:jc w:val="both"/>
        <w:textAlignment w:val="baseline"/>
        <w:rPr>
          <w:sz w:val="24"/>
          <w:szCs w:val="24"/>
        </w:rPr>
      </w:pPr>
      <w:r w:rsidRPr="00CE1F2E">
        <w:rPr>
          <w:sz w:val="24"/>
          <w:szCs w:val="24"/>
        </w:rPr>
        <w:t xml:space="preserve">Le dossier complet de réponse à l’appel à projet est à renseigner, par le partenaire « Chef de file », </w:t>
      </w:r>
      <w:r>
        <w:rPr>
          <w:sz w:val="24"/>
          <w:szCs w:val="24"/>
        </w:rPr>
        <w:t>et s’effectue p</w:t>
      </w:r>
      <w:r w:rsidRPr="00C15197">
        <w:rPr>
          <w:sz w:val="24"/>
          <w:szCs w:val="24"/>
        </w:rPr>
        <w:t>ar voie dématérialisée sur le portail e-Synergie</w:t>
      </w:r>
      <w:r>
        <w:rPr>
          <w:sz w:val="24"/>
          <w:szCs w:val="24"/>
        </w:rPr>
        <w:t xml:space="preserve"> avant la date d</w:t>
      </w:r>
      <w:r w:rsidRPr="00CE1F2E">
        <w:rPr>
          <w:sz w:val="24"/>
          <w:szCs w:val="24"/>
        </w:rPr>
        <w:t>e clôture de l’appel à projet.</w:t>
      </w:r>
    </w:p>
    <w:p w14:paraId="3084AA46" w14:textId="1D264FFF" w:rsidR="004B755A" w:rsidRDefault="004B755A" w:rsidP="00C15197">
      <w:pPr>
        <w:suppressAutoHyphens/>
        <w:autoSpaceDN w:val="0"/>
        <w:spacing w:after="0" w:line="256" w:lineRule="auto"/>
        <w:jc w:val="both"/>
        <w:textAlignment w:val="baseline"/>
        <w:rPr>
          <w:sz w:val="24"/>
          <w:szCs w:val="24"/>
        </w:rPr>
      </w:pPr>
      <w:r w:rsidRPr="004B755A">
        <w:rPr>
          <w:sz w:val="24"/>
          <w:szCs w:val="24"/>
        </w:rPr>
        <w:t>Après la clôture de l’appel à projet, le service instructeur pourra néanmoins demander des pièces complémentaires lors de la phase d’instruction. Celles-ci devront impérativement parvenir au service instructeur dans les délais précisés dans le courrie</w:t>
      </w:r>
      <w:r w:rsidR="007C3836">
        <w:rPr>
          <w:sz w:val="24"/>
          <w:szCs w:val="24"/>
        </w:rPr>
        <w:t>l</w:t>
      </w:r>
      <w:r w:rsidRPr="004B755A">
        <w:rPr>
          <w:sz w:val="24"/>
          <w:szCs w:val="24"/>
        </w:rPr>
        <w:t xml:space="preserve"> de demande de complétude.</w:t>
      </w:r>
    </w:p>
    <w:p w14:paraId="6AD7891A" w14:textId="15488D0A" w:rsidR="00C15197" w:rsidRDefault="00C15197" w:rsidP="00C15197">
      <w:pPr>
        <w:suppressAutoHyphens/>
        <w:autoSpaceDN w:val="0"/>
        <w:spacing w:after="0" w:line="256" w:lineRule="auto"/>
        <w:jc w:val="both"/>
        <w:textAlignment w:val="baseline"/>
        <w:rPr>
          <w:sz w:val="24"/>
          <w:szCs w:val="24"/>
        </w:rPr>
      </w:pPr>
    </w:p>
    <w:p w14:paraId="1F0A94A5" w14:textId="77777777" w:rsidR="00F15029" w:rsidRPr="006C11A0" w:rsidRDefault="00F15029" w:rsidP="00F15029">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3" w:history="1">
        <w:r w:rsidRPr="005568C8">
          <w:rPr>
            <w:rStyle w:val="Lienhypertexte"/>
            <w:sz w:val="24"/>
            <w:szCs w:val="24"/>
          </w:rPr>
          <w:t>E-Synergie - Portail (synergie-europe.fr)</w:t>
        </w:r>
      </w:hyperlink>
    </w:p>
    <w:p w14:paraId="27AECD86" w14:textId="77777777" w:rsidR="00F15029" w:rsidRPr="00C15197" w:rsidRDefault="00F15029" w:rsidP="00C15197">
      <w:pPr>
        <w:suppressAutoHyphens/>
        <w:autoSpaceDN w:val="0"/>
        <w:spacing w:after="0" w:line="256" w:lineRule="auto"/>
        <w:jc w:val="both"/>
        <w:textAlignment w:val="baseline"/>
        <w:rPr>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34593BC9"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164D27"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 </w:t>
      </w:r>
    </w:p>
    <w:p w14:paraId="4E0DF061" w14:textId="6DA45090" w:rsidR="00237B1F" w:rsidRPr="00244C64"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244C64">
        <w:rPr>
          <w:bCs/>
          <w:sz w:val="24"/>
          <w:szCs w:val="24"/>
        </w:rPr>
        <w:t>N</w:t>
      </w:r>
      <w:r w:rsidR="00237B1F" w:rsidRPr="00244C64">
        <w:rPr>
          <w:bCs/>
          <w:sz w:val="24"/>
          <w:szCs w:val="24"/>
        </w:rPr>
        <w:t xml:space="preserve">ote </w:t>
      </w:r>
      <w:r w:rsidR="00F300E3">
        <w:rPr>
          <w:bCs/>
          <w:sz w:val="24"/>
          <w:szCs w:val="24"/>
        </w:rPr>
        <w:t xml:space="preserve">de cadrage </w:t>
      </w:r>
      <w:r w:rsidR="00237B1F" w:rsidRPr="00244C64">
        <w:rPr>
          <w:bCs/>
          <w:sz w:val="24"/>
          <w:szCs w:val="24"/>
        </w:rPr>
        <w:t>Options à coûts simplifiés</w:t>
      </w:r>
    </w:p>
    <w:p w14:paraId="0C670DF9" w14:textId="77777777" w:rsidR="00F300E3"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w:t>
      </w:r>
    </w:p>
    <w:p w14:paraId="1AFBFA76" w14:textId="54FA2372" w:rsidR="00F300E3" w:rsidRDefault="003C3CDD" w:rsidP="00F300E3">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 </w:t>
      </w:r>
      <w:r w:rsidR="00F300E3">
        <w:rPr>
          <w:bCs/>
          <w:sz w:val="24"/>
          <w:szCs w:val="24"/>
        </w:rPr>
        <w:t>D</w:t>
      </w:r>
      <w:r w:rsidR="00F300E3" w:rsidRPr="00BF33A9">
        <w:rPr>
          <w:bCs/>
          <w:sz w:val="24"/>
          <w:szCs w:val="24"/>
        </w:rPr>
        <w:t xml:space="preserve">éclaration sur l’honneur </w:t>
      </w:r>
      <w:r w:rsidR="00F300E3">
        <w:rPr>
          <w:bCs/>
          <w:sz w:val="24"/>
          <w:szCs w:val="24"/>
        </w:rPr>
        <w:t>association</w:t>
      </w:r>
      <w:r w:rsidR="00F300E3" w:rsidRPr="00BF33A9">
        <w:rPr>
          <w:bCs/>
          <w:sz w:val="24"/>
          <w:szCs w:val="24"/>
        </w:rPr>
        <w:t>, à compléter</w:t>
      </w:r>
    </w:p>
    <w:p w14:paraId="5E287881" w14:textId="644A4799" w:rsidR="003C3CDD" w:rsidRDefault="00F300E3"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Modèle de convention partenariale</w:t>
      </w:r>
    </w:p>
    <w:p w14:paraId="59C3ECF5" w14:textId="66FD0FF4" w:rsidR="00F300E3" w:rsidRDefault="00F300E3"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Note de cadrage partenariat</w:t>
      </w:r>
    </w:p>
    <w:p w14:paraId="7B4AA46F" w14:textId="19EAF6D2"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 xml:space="preserve">iste des pièces à </w:t>
      </w:r>
      <w:r w:rsidR="00F300E3">
        <w:rPr>
          <w:bCs/>
          <w:sz w:val="24"/>
          <w:szCs w:val="24"/>
        </w:rPr>
        <w:t>fournir OS 1.1.1.4R</w:t>
      </w:r>
    </w:p>
    <w:p w14:paraId="7524A0FB" w14:textId="45355965" w:rsidR="007C3836" w:rsidRDefault="007C3836"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D</w:t>
      </w:r>
      <w:r w:rsidRPr="007C3836">
        <w:rPr>
          <w:bCs/>
          <w:sz w:val="24"/>
          <w:szCs w:val="24"/>
        </w:rPr>
        <w:t>ossier technique détaillant le projet dans son ensemble</w:t>
      </w:r>
    </w:p>
    <w:p w14:paraId="087D1B6F" w14:textId="77777777" w:rsidR="00F018CA" w:rsidRDefault="00F018CA" w:rsidP="00561110">
      <w:pPr>
        <w:suppressAutoHyphens/>
        <w:autoSpaceDN w:val="0"/>
        <w:spacing w:after="0" w:line="256" w:lineRule="auto"/>
        <w:jc w:val="both"/>
        <w:textAlignment w:val="baseline"/>
        <w:rPr>
          <w:bCs/>
          <w:sz w:val="24"/>
          <w:szCs w:val="24"/>
        </w:rPr>
      </w:pP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70B6B2ED"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w:t>
      </w:r>
      <w:r w:rsidR="00F2663D">
        <w:rPr>
          <w:bCs/>
          <w:sz w:val="24"/>
          <w:szCs w:val="24"/>
        </w:rPr>
        <w:t xml:space="preserve">a Région </w:t>
      </w:r>
      <w:r w:rsidRPr="00561110">
        <w:rPr>
          <w:bCs/>
          <w:sz w:val="24"/>
          <w:szCs w:val="24"/>
        </w:rPr>
        <w:t>à communiquer sur son projet, son bilan et ses résultats dès lors qu’il a été retenu ;</w:t>
      </w:r>
    </w:p>
    <w:p w14:paraId="10C96C70" w14:textId="009F216C" w:rsid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0013F455" w14:textId="77777777" w:rsidR="00DE1B85" w:rsidRPr="00561110" w:rsidRDefault="00DE1B85" w:rsidP="00561110">
      <w:pPr>
        <w:suppressAutoHyphens/>
        <w:autoSpaceDN w:val="0"/>
        <w:spacing w:after="0" w:line="256" w:lineRule="auto"/>
        <w:jc w:val="both"/>
        <w:textAlignment w:val="baseline"/>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4EE963E4" w:rsidR="00C962E5" w:rsidRPr="002C29B9" w:rsidRDefault="00E133AD" w:rsidP="00C43F25">
      <w:pPr>
        <w:spacing w:after="0"/>
        <w:jc w:val="center"/>
        <w:rPr>
          <w:sz w:val="24"/>
          <w:szCs w:val="24"/>
        </w:rPr>
      </w:pPr>
      <w:r w:rsidRPr="009C0BE3">
        <w:rPr>
          <w:color w:val="0563C1"/>
          <w:sz w:val="24"/>
          <w:szCs w:val="24"/>
        </w:rPr>
        <w:t>lescaffre</w:t>
      </w:r>
      <w:r w:rsidR="00F2663D" w:rsidRPr="009C0BE3">
        <w:rPr>
          <w:color w:val="0563C1"/>
          <w:sz w:val="24"/>
          <w:szCs w:val="24"/>
        </w:rPr>
        <w:t>@maregionsud.fr</w:t>
      </w:r>
      <w:r w:rsidR="00A94626" w:rsidRPr="009C0BE3">
        <w:rPr>
          <w:color w:val="0070C0"/>
          <w:sz w:val="24"/>
          <w:szCs w:val="24"/>
        </w:rPr>
        <w:t xml:space="preserve"> </w:t>
      </w:r>
      <w:r w:rsidR="00C962E5" w:rsidRPr="002C29B9">
        <w:rPr>
          <w:sz w:val="24"/>
          <w:szCs w:val="24"/>
        </w:rPr>
        <w:t>/</w:t>
      </w:r>
    </w:p>
    <w:p w14:paraId="2445661F" w14:textId="6ECF797E" w:rsidR="00A94626" w:rsidRPr="002C29B9" w:rsidRDefault="00000000" w:rsidP="00C43F25">
      <w:pPr>
        <w:spacing w:after="0"/>
        <w:jc w:val="center"/>
        <w:rPr>
          <w:sz w:val="24"/>
          <w:szCs w:val="24"/>
        </w:rPr>
      </w:pPr>
      <w:hyperlink r:id="rId14" w:history="1">
        <w:r w:rsidR="00F2663D" w:rsidRPr="009C0BE3">
          <w:rPr>
            <w:rStyle w:val="Lienhypertexte"/>
            <w:color w:val="0563C1"/>
            <w:sz w:val="24"/>
            <w:szCs w:val="24"/>
          </w:rPr>
          <w:t>feampa</w:t>
        </w:r>
        <w:r w:rsidR="00F2663D" w:rsidRPr="00D23062">
          <w:rPr>
            <w:rStyle w:val="Lienhypertexte"/>
            <w:sz w:val="24"/>
            <w:szCs w:val="24"/>
          </w:rPr>
          <w:t>@maregionsud.fr</w:t>
        </w:r>
      </w:hyperlink>
    </w:p>
    <w:p w14:paraId="156B6B29" w14:textId="71FC25E0" w:rsidR="00A94626" w:rsidRPr="00A94626" w:rsidRDefault="00A94626" w:rsidP="00C43F25">
      <w:pPr>
        <w:spacing w:after="0"/>
        <w:jc w:val="center"/>
        <w:rPr>
          <w:b/>
          <w:sz w:val="24"/>
          <w:szCs w:val="24"/>
        </w:rPr>
      </w:pPr>
      <w:r w:rsidRPr="00A94626">
        <w:rPr>
          <w:sz w:val="24"/>
          <w:szCs w:val="24"/>
        </w:rPr>
        <w:t>04.88.73.6</w:t>
      </w:r>
      <w:r w:rsidR="009C0BE3">
        <w:rPr>
          <w:sz w:val="24"/>
          <w:szCs w:val="24"/>
        </w:rPr>
        <w:t>5</w:t>
      </w:r>
      <w:r w:rsidRPr="00A94626">
        <w:rPr>
          <w:sz w:val="24"/>
          <w:szCs w:val="24"/>
        </w:rPr>
        <w:t>.</w:t>
      </w:r>
      <w:r w:rsidR="009C0BE3">
        <w:rPr>
          <w:sz w:val="24"/>
          <w:szCs w:val="24"/>
        </w:rPr>
        <w:t>08</w:t>
      </w:r>
    </w:p>
    <w:p w14:paraId="700AC7F1" w14:textId="5DF5EC7D" w:rsidR="00CB083D" w:rsidRPr="00CF5A61" w:rsidRDefault="00CB083D" w:rsidP="000A31FD">
      <w:pPr>
        <w:pStyle w:val="Titre1"/>
        <w:ind w:left="720"/>
        <w:jc w:val="center"/>
        <w:rPr>
          <w:rFonts w:ascii="Trebuchet MS" w:hAnsi="Trebuchet MS"/>
          <w:b/>
          <w:color w:val="auto"/>
          <w:sz w:val="24"/>
          <w:szCs w:val="24"/>
          <w:u w:val="single"/>
        </w:rPr>
      </w:pPr>
      <w:bookmarkStart w:id="13" w:name="_Toc135040515"/>
      <w:r>
        <w:rPr>
          <w:rFonts w:ascii="Trebuchet MS" w:hAnsi="Trebuchet MS"/>
          <w:b/>
          <w:color w:val="auto"/>
          <w:sz w:val="24"/>
          <w:szCs w:val="24"/>
          <w:u w:val="single"/>
        </w:rPr>
        <w:lastRenderedPageBreak/>
        <w:t>Annexes</w:t>
      </w:r>
      <w:bookmarkEnd w:id="13"/>
      <w:r w:rsidR="00B33CA1">
        <w:rPr>
          <w:rFonts w:ascii="Trebuchet MS" w:hAnsi="Trebuchet MS"/>
          <w:b/>
          <w:color w:val="auto"/>
          <w:sz w:val="24"/>
          <w:szCs w:val="24"/>
          <w:u w:val="single"/>
        </w:rPr>
        <w:t> :</w:t>
      </w:r>
    </w:p>
    <w:p w14:paraId="68A56408" w14:textId="77777777" w:rsidR="00CB083D" w:rsidRDefault="00CB083D" w:rsidP="00CB083D">
      <w:pPr>
        <w:jc w:val="both"/>
        <w:rPr>
          <w:rFonts w:ascii="Calibri" w:hAnsi="Calibri" w:cs="Calibri"/>
        </w:rPr>
      </w:pPr>
    </w:p>
    <w:p w14:paraId="2BFB6DEF" w14:textId="77777777" w:rsidR="00CB083D" w:rsidRPr="000A31FD" w:rsidRDefault="00CB083D" w:rsidP="00B33CA1">
      <w:pPr>
        <w:pStyle w:val="Titre2"/>
        <w:ind w:left="720"/>
        <w:jc w:val="center"/>
        <w:rPr>
          <w:rFonts w:asciiTheme="minorHAnsi" w:hAnsiTheme="minorHAnsi" w:cstheme="minorHAnsi"/>
          <w:b/>
          <w:bCs/>
          <w:color w:val="auto"/>
          <w:sz w:val="22"/>
          <w:u w:val="single"/>
        </w:rPr>
      </w:pPr>
      <w:bookmarkStart w:id="14" w:name="_Toc134613008"/>
      <w:bookmarkStart w:id="15" w:name="_Toc135040516"/>
      <w:r w:rsidRPr="000A31FD">
        <w:rPr>
          <w:rFonts w:asciiTheme="minorHAnsi" w:hAnsiTheme="minorHAnsi" w:cstheme="minorHAnsi"/>
          <w:b/>
          <w:bCs/>
          <w:color w:val="auto"/>
          <w:sz w:val="22"/>
          <w:u w:val="single"/>
        </w:rPr>
        <w:t>Annexe 1 – Définitions</w:t>
      </w:r>
      <w:bookmarkEnd w:id="14"/>
      <w:bookmarkEnd w:id="15"/>
    </w:p>
    <w:p w14:paraId="67B53A4C" w14:textId="77777777" w:rsidR="00CB083D" w:rsidRDefault="00CB083D" w:rsidP="00CB083D">
      <w:pPr>
        <w:jc w:val="both"/>
      </w:pPr>
    </w:p>
    <w:p w14:paraId="2E8A5299" w14:textId="77777777" w:rsidR="00CB083D" w:rsidRDefault="00CB083D" w:rsidP="00CB083D">
      <w:pPr>
        <w:autoSpaceDE w:val="0"/>
        <w:autoSpaceDN w:val="0"/>
        <w:adjustRightInd w:val="0"/>
        <w:spacing w:after="0" w:line="240" w:lineRule="auto"/>
        <w:jc w:val="both"/>
      </w:pPr>
      <w:r w:rsidRPr="00684824">
        <w:rPr>
          <w:u w:val="single"/>
        </w:rPr>
        <w:t>Collaboration effective</w:t>
      </w:r>
      <w:r w:rsidRPr="00684824">
        <w:t xml:space="preserve"> : une collaboration entre au moins deux parties indépendantes l’une de l’autre</w:t>
      </w:r>
      <w:r>
        <w:t xml:space="preserve"> </w:t>
      </w:r>
      <w:r w:rsidRPr="00684824">
        <w:t>visant à échanger des connaissances ou des technologies, ou à atteindre un objectif commun, fondée</w:t>
      </w:r>
      <w:r>
        <w:t xml:space="preserve"> </w:t>
      </w:r>
      <w:r w:rsidRPr="00684824">
        <w:t>sur une division du travail impliquant que les parties définissent conjointement la portée du projet</w:t>
      </w:r>
      <w:r>
        <w:t xml:space="preserve"> </w:t>
      </w:r>
      <w:r w:rsidRPr="00684824">
        <w:t>collaboratif, contribuent à sa réalisation, et en partagent les risques et les résultats.</w:t>
      </w:r>
    </w:p>
    <w:p w14:paraId="0B8F7B05" w14:textId="77777777" w:rsidR="00CB083D" w:rsidRDefault="00CB083D" w:rsidP="00CB083D">
      <w:pPr>
        <w:spacing w:after="0"/>
        <w:jc w:val="both"/>
        <w:rPr>
          <w:u w:val="single"/>
        </w:rPr>
      </w:pPr>
    </w:p>
    <w:p w14:paraId="1A6F3494" w14:textId="77777777" w:rsidR="00CB083D" w:rsidRDefault="00CB083D" w:rsidP="00CB083D">
      <w:pPr>
        <w:spacing w:after="0"/>
        <w:jc w:val="both"/>
      </w:pPr>
      <w:r>
        <w:rPr>
          <w:u w:val="single"/>
        </w:rPr>
        <w:t>Chef de file :</w:t>
      </w:r>
      <w:r w:rsidRPr="00143407">
        <w:t xml:space="preserve"> </w:t>
      </w:r>
      <w:r>
        <w:t>p</w:t>
      </w:r>
      <w:r w:rsidRPr="00143407">
        <w:t>ersonne morale qui coordonne la mise en œuvre d’une opération collaborative, dont elle est responsable devant l’autorité de gestion et qui agit pour le compte de partenaires avec qui elle passe une convention à cet effet. Elle déclare les dépenses supportées par elle-même et celles supportées par ses partenaires (Décret 2022-608 du 21 avril 2022 fixant les règles nationales d’éligibilité des dépenses des programmes européens pour la période de programmation 2021-2027 – Article 2 alinéa 1°).</w:t>
      </w:r>
    </w:p>
    <w:p w14:paraId="3740C95D" w14:textId="77777777" w:rsidR="00CB083D" w:rsidRDefault="00CB083D" w:rsidP="00CB083D">
      <w:pPr>
        <w:autoSpaceDE w:val="0"/>
        <w:autoSpaceDN w:val="0"/>
        <w:adjustRightInd w:val="0"/>
        <w:spacing w:after="0" w:line="240" w:lineRule="auto"/>
        <w:jc w:val="both"/>
      </w:pPr>
    </w:p>
    <w:p w14:paraId="4B79C615" w14:textId="77777777" w:rsidR="00CB083D" w:rsidRDefault="00CB083D" w:rsidP="00CB083D">
      <w:pPr>
        <w:autoSpaceDE w:val="0"/>
        <w:autoSpaceDN w:val="0"/>
        <w:adjustRightInd w:val="0"/>
        <w:spacing w:after="0" w:line="240" w:lineRule="auto"/>
        <w:jc w:val="both"/>
      </w:pPr>
      <w:r w:rsidRPr="00502DC9">
        <w:rPr>
          <w:u w:val="single"/>
        </w:rPr>
        <w:t>Début des travaux :</w:t>
      </w:r>
      <w:r w:rsidRPr="00502DC9">
        <w:t xml:space="preserve"> soit le début des travaux de construction liés à l’</w:t>
      </w:r>
      <w:r>
        <w:t>investissement, soit le premier e</w:t>
      </w:r>
      <w:r w:rsidRPr="00502DC9">
        <w:t>ngagement juridiquement contraignant de commande d’équipement ou tout autre engagement rendant</w:t>
      </w:r>
      <w:r>
        <w:t xml:space="preserve"> </w:t>
      </w:r>
      <w:r w:rsidRPr="00502DC9">
        <w:t>l’investissement irréversible, selon l’événement qui se produit en premier. L’achat de terrain et les</w:t>
      </w:r>
      <w:r>
        <w:t xml:space="preserve"> </w:t>
      </w:r>
      <w:r w:rsidRPr="00502DC9">
        <w:t>préparatifs tels que l’obtention d’autorisations et la réalisation d’études de faisabilité ne sont pas</w:t>
      </w:r>
      <w:r>
        <w:t xml:space="preserve"> </w:t>
      </w:r>
      <w:r w:rsidRPr="00502DC9">
        <w:t>considérés comme le début des travaux. Dans le cas des rachats, le début des travaux est le moment de</w:t>
      </w:r>
      <w:r>
        <w:t xml:space="preserve"> </w:t>
      </w:r>
      <w:r w:rsidRPr="00502DC9">
        <w:t>l’acquisition des actifs directement liés à l’établissement acquis ;</w:t>
      </w:r>
    </w:p>
    <w:p w14:paraId="19B0F08B" w14:textId="77777777" w:rsidR="00CB083D" w:rsidRDefault="00CB083D" w:rsidP="00CB083D">
      <w:pPr>
        <w:autoSpaceDE w:val="0"/>
        <w:autoSpaceDN w:val="0"/>
        <w:adjustRightInd w:val="0"/>
        <w:spacing w:after="0" w:line="240" w:lineRule="auto"/>
        <w:jc w:val="both"/>
      </w:pPr>
    </w:p>
    <w:p w14:paraId="3408C0F7" w14:textId="77777777" w:rsidR="00CB083D" w:rsidRDefault="00CB083D" w:rsidP="00CB083D">
      <w:pPr>
        <w:jc w:val="both"/>
      </w:pPr>
      <w:r w:rsidRPr="00502DC9">
        <w:rPr>
          <w:u w:val="single"/>
        </w:rPr>
        <w:t>Conditions de pleine concurrence</w:t>
      </w:r>
      <w:r w:rsidRPr="00502DC9">
        <w:t xml:space="preserve"> : une situation dans laquelle les cond</w:t>
      </w:r>
      <w:r>
        <w:t xml:space="preserve">itions de l’opération entre les </w:t>
      </w:r>
      <w:r w:rsidRPr="00502DC9">
        <w:t>parties contractantes ne seraient pas différentes de celles qui seraien</w:t>
      </w:r>
      <w:r>
        <w:t xml:space="preserve">t exigées entre des entreprises </w:t>
      </w:r>
      <w:r w:rsidRPr="00502DC9">
        <w:t xml:space="preserve">indépendantes et ne contiennent aucun élément de collusion. </w:t>
      </w:r>
      <w:r>
        <w:t xml:space="preserve">Toute opération résultant d’une </w:t>
      </w:r>
      <w:r w:rsidRPr="00502DC9">
        <w:t>procédure ouverte, transparente et non-discriminatoire est c</w:t>
      </w:r>
      <w:r>
        <w:t xml:space="preserve">onsidérée comme respectueuse du </w:t>
      </w:r>
      <w:r w:rsidRPr="00502DC9">
        <w:t>principe</w:t>
      </w:r>
      <w:r>
        <w:t xml:space="preserve"> </w:t>
      </w:r>
      <w:r w:rsidRPr="00502DC9">
        <w:t>de pleine concurrence ;</w:t>
      </w:r>
    </w:p>
    <w:p w14:paraId="4EDF8D9C" w14:textId="77777777" w:rsidR="00CB083D" w:rsidRPr="004F1B6A" w:rsidRDefault="00CB083D" w:rsidP="00CB083D">
      <w:pPr>
        <w:spacing w:before="240" w:after="240" w:line="240" w:lineRule="auto"/>
        <w:jc w:val="both"/>
        <w:rPr>
          <w:rFonts w:cstheme="minorHAnsi"/>
        </w:rPr>
      </w:pPr>
      <w:r w:rsidRPr="004F1B6A">
        <w:rPr>
          <w:rFonts w:eastAsia="Times New Roman" w:cstheme="minorHAnsi"/>
          <w:u w:val="single"/>
        </w:rPr>
        <w:t>Innovation</w:t>
      </w:r>
      <w:r>
        <w:rPr>
          <w:rFonts w:eastAsia="Times New Roman" w:cstheme="minorHAnsi"/>
          <w:u w:val="single"/>
        </w:rPr>
        <w:t xml:space="preserve"> de procédé : </w:t>
      </w:r>
      <w:r w:rsidRPr="004F1B6A">
        <w:rPr>
          <w:rFonts w:cstheme="minorHAnsi"/>
        </w:rPr>
        <w:t xml:space="preserve">Projet d’innovation ou d’amélioration susceptible d’être mis sur le marché dans les 3 ans suivant la fin de l’opération, et directement utilisable par les entreprises, particulièrement des phases de pré-lancement industriel ou commercial. L’innovation doit ainsi pouvoir être opérationnelle de façon directe et dans des délais rapprochés et porte sur des procédés, techniques </w:t>
      </w:r>
      <w:r>
        <w:rPr>
          <w:rFonts w:cstheme="minorHAnsi"/>
        </w:rPr>
        <w:t>ou</w:t>
      </w:r>
      <w:r w:rsidRPr="004F1B6A">
        <w:rPr>
          <w:rFonts w:cstheme="minorHAnsi"/>
        </w:rPr>
        <w:t xml:space="preserve"> systèmes d’organisation et de gestion nouveaux ou améliorés (y compris développement d’outils informatique</w:t>
      </w:r>
      <w:r>
        <w:rPr>
          <w:rFonts w:cstheme="minorHAnsi"/>
        </w:rPr>
        <w:t>s</w:t>
      </w:r>
      <w:r w:rsidRPr="004F1B6A">
        <w:rPr>
          <w:rFonts w:cstheme="minorHAnsi"/>
        </w:rPr>
        <w:t xml:space="preserve"> de gestion).</w:t>
      </w:r>
    </w:p>
    <w:p w14:paraId="71487741" w14:textId="77777777" w:rsidR="00CB083D" w:rsidRDefault="00CB083D" w:rsidP="00CB083D">
      <w:pPr>
        <w:spacing w:before="240" w:after="240" w:line="240" w:lineRule="auto"/>
        <w:jc w:val="both"/>
        <w:rPr>
          <w:rFonts w:cstheme="minorHAnsi"/>
        </w:rPr>
      </w:pPr>
      <w:r w:rsidRPr="004F1B6A">
        <w:rPr>
          <w:rFonts w:eastAsia="Times New Roman" w:cstheme="minorHAnsi"/>
          <w:u w:val="single"/>
        </w:rPr>
        <w:t xml:space="preserve">Innovation </w:t>
      </w:r>
      <w:r>
        <w:rPr>
          <w:rFonts w:eastAsia="Times New Roman" w:cstheme="minorHAnsi"/>
          <w:u w:val="single"/>
        </w:rPr>
        <w:t xml:space="preserve">de </w:t>
      </w:r>
      <w:r w:rsidRPr="004F1B6A">
        <w:rPr>
          <w:rFonts w:eastAsia="Times New Roman" w:cstheme="minorHAnsi"/>
          <w:u w:val="single"/>
        </w:rPr>
        <w:t>produit</w:t>
      </w:r>
      <w:r>
        <w:rPr>
          <w:rFonts w:eastAsia="Times New Roman" w:cstheme="minorHAnsi"/>
          <w:u w:val="single"/>
        </w:rPr>
        <w:t xml:space="preserve"> : </w:t>
      </w:r>
      <w:r w:rsidRPr="004F1B6A">
        <w:rPr>
          <w:rFonts w:cstheme="minorHAnsi"/>
        </w:rPr>
        <w:t>Projet d’innovation ou d’amélioration susceptible d’être mis sur le marché dans les 3 ans suivant la fin de l’opération, et directement utilisable par les entreprises, particulièrement des phases de pré-lancement industriel ou commercial. L’innovation doit ainsi pouvoir être opérationnelle de façon directe et dans des délais rapprochés et porte sur des nouveaux produits et équipements encore absents sur le marché ou sur des produits et équipements présentant de fortes améliorations par rapport à ceux présents sur le marché.</w:t>
      </w:r>
    </w:p>
    <w:p w14:paraId="0413F3CD" w14:textId="77777777" w:rsidR="00CB083D" w:rsidRDefault="00CB083D" w:rsidP="00CB083D">
      <w:pPr>
        <w:spacing w:after="0"/>
        <w:jc w:val="both"/>
      </w:pPr>
      <w:r w:rsidRPr="00394784">
        <w:rPr>
          <w:u w:val="single"/>
        </w:rPr>
        <w:t>Intérêt collectif</w:t>
      </w:r>
      <w:r w:rsidRPr="00394784">
        <w:t xml:space="preserve"> : fait référence à l'intérêt des membres de l'organisation, d'un groupe de parties prenantes ou du grand public. Les actions soutenues doivent donc englober plus que la somme des intérêts individuels des membres du bénéficiaire collectif. Elles ont donc une portée plus large que celles normalement entreprises par les entreprises privées. </w:t>
      </w:r>
    </w:p>
    <w:p w14:paraId="0C7CA444" w14:textId="77777777" w:rsidR="00CB083D" w:rsidRDefault="00CB083D" w:rsidP="00CB083D">
      <w:pPr>
        <w:spacing w:after="0"/>
        <w:jc w:val="both"/>
        <w:rPr>
          <w:u w:val="single"/>
        </w:rPr>
      </w:pPr>
    </w:p>
    <w:p w14:paraId="083E621A" w14:textId="77777777" w:rsidR="00CB083D" w:rsidRDefault="00CB083D" w:rsidP="00CB083D">
      <w:pPr>
        <w:spacing w:after="0"/>
        <w:jc w:val="both"/>
      </w:pPr>
      <w:r w:rsidRPr="00394784">
        <w:rPr>
          <w:u w:val="single"/>
        </w:rPr>
        <w:t>Bénéficiaire collectif</w:t>
      </w:r>
      <w:r w:rsidRPr="00394784">
        <w:t xml:space="preserve"> : organisme représentant les intérêts de ses membres, d'un groupe de parties intéressées ou </w:t>
      </w:r>
      <w:r w:rsidRPr="006914E8">
        <w:t>du grand public.</w:t>
      </w:r>
      <w:r w:rsidRPr="00394784">
        <w:t xml:space="preserve"> Ainsi, il mène une action au profit de ses adhérents ou mandants. Les bénéficiaires collectifs sont notamment les organisations de pêcheurs et de producteurs reconnus par l'E</w:t>
      </w:r>
      <w:r>
        <w:t>tat membre</w:t>
      </w:r>
      <w:r w:rsidRPr="00394784">
        <w:t xml:space="preserve"> selon les règles nationales en vigueur.</w:t>
      </w:r>
    </w:p>
    <w:p w14:paraId="5C462A9A" w14:textId="77777777" w:rsidR="00CB083D" w:rsidRDefault="00CB083D" w:rsidP="00CB083D">
      <w:pPr>
        <w:spacing w:after="0"/>
        <w:jc w:val="both"/>
      </w:pPr>
    </w:p>
    <w:p w14:paraId="0ADD47C4" w14:textId="77777777" w:rsidR="00CB083D" w:rsidRDefault="00CB083D" w:rsidP="00CB083D">
      <w:pPr>
        <w:jc w:val="both"/>
      </w:pPr>
      <w:r w:rsidRPr="00342BCD">
        <w:rPr>
          <w:u w:val="single"/>
        </w:rPr>
        <w:t>Article 42 TFUE :</w:t>
      </w:r>
      <w:r>
        <w:t xml:space="preserve"> Le champs d’application de l’article 42 du </w:t>
      </w:r>
      <w:r w:rsidRPr="00F94650">
        <w:t>Traité sur le Fonctionnement de l’Union Européenne (TFUE)</w:t>
      </w:r>
      <w:r>
        <w:t xml:space="preserve"> est celui de la production et du commerce de produits agricoles qu’il faut entendre, selon l’article 38§1 TFUE « comme les produits du sol, de l’élevage et de la pêcherie, ainsi que les produits de première transformation qui sont en rapport direct avec ces produits ». </w:t>
      </w:r>
    </w:p>
    <w:p w14:paraId="6616DA4E" w14:textId="77777777" w:rsidR="00CB083D" w:rsidRDefault="00CB083D" w:rsidP="00CB083D">
      <w:pPr>
        <w:jc w:val="both"/>
      </w:pPr>
      <w:r>
        <w:lastRenderedPageBreak/>
        <w:t>Ainsi, les projets ayant trait à la production, la transformation et la commercialisation des produits de la pêche et de l’aquaculture entre dans le champ des aides cofinancées du FEAMPA et ne sont pas concernés par le droit des aides d’Etat.</w:t>
      </w:r>
    </w:p>
    <w:p w14:paraId="15C1D3B5" w14:textId="77777777" w:rsidR="00CB083D" w:rsidRDefault="00CB083D" w:rsidP="00CB083D">
      <w:pPr>
        <w:jc w:val="both"/>
      </w:pPr>
      <w:r w:rsidRPr="00583DF3">
        <w:rPr>
          <w:u w:val="single"/>
        </w:rPr>
        <w:t>Entreprise :</w:t>
      </w:r>
      <w:r>
        <w:t xml:space="preserve"> est considérée comme entreprise toute entité, indépendamment de sa forme juridique, exerçant une activité économique. Sont notamment considérées comme telles les entités exerçant une activité artisanale ou d’autres activités à titre individuel ou familial, les sociétés de personnes ou les associations qui exercent régulièrement une activité économique.</w:t>
      </w:r>
    </w:p>
    <w:p w14:paraId="47E37369" w14:textId="77777777" w:rsidR="00CB083D" w:rsidRDefault="00CB083D" w:rsidP="00CB083D">
      <w:pPr>
        <w:jc w:val="both"/>
      </w:pPr>
      <w:r w:rsidRPr="00583DF3">
        <w:rPr>
          <w:u w:val="single"/>
        </w:rPr>
        <w:t>PME :</w:t>
      </w:r>
      <w:r>
        <w:t xml:space="preserve"> La catégorie des micros, petites et moyennes entreprises (PME) est constituée des entreprises qui occupent moins de 250 personnes et dont le chiffre d’affaires annuel n’excède pas 50 millions d’euros ou dont le total du bilan annuel n’excède pas 43 millions d’euros.</w:t>
      </w:r>
    </w:p>
    <w:p w14:paraId="7BCF66DF" w14:textId="77777777" w:rsidR="00CB083D" w:rsidRDefault="00CB083D" w:rsidP="00CB083D">
      <w:pPr>
        <w:jc w:val="both"/>
      </w:pPr>
      <w:r w:rsidRPr="00583DF3">
        <w:rPr>
          <w:u w:val="single"/>
        </w:rPr>
        <w:t>Petite entreprise</w:t>
      </w:r>
      <w:r>
        <w:t> : dans la catégorie des PME, une petite entreprise est définie comme une entreprise qui occupe moins de 50 personnes et dont le chiffre d’affaires annuel ou le total du bilan annuel n’excède pas 2 millions d’euros.</w:t>
      </w:r>
    </w:p>
    <w:p w14:paraId="5EAA7025" w14:textId="77777777" w:rsidR="00CB083D" w:rsidRDefault="00CB083D" w:rsidP="00CB083D">
      <w:pPr>
        <w:jc w:val="both"/>
      </w:pPr>
      <w:r w:rsidRPr="00583DF3">
        <w:rPr>
          <w:u w:val="single"/>
        </w:rPr>
        <w:t>Grande entreprise</w:t>
      </w:r>
      <w:r w:rsidRPr="00583DF3">
        <w:t xml:space="preserve"> : toute entreprise ne relevant pas de la définition des petites et moyennes</w:t>
      </w:r>
      <w:r>
        <w:t xml:space="preserve"> entreprises.</w:t>
      </w:r>
    </w:p>
    <w:p w14:paraId="4B9D3473" w14:textId="77777777" w:rsidR="00CB083D" w:rsidRDefault="00CB083D" w:rsidP="00CB083D">
      <w:pPr>
        <w:jc w:val="both"/>
      </w:pPr>
      <w:r w:rsidRPr="00583DF3">
        <w:rPr>
          <w:u w:val="single"/>
        </w:rPr>
        <w:t>Organisme de Droit Public :</w:t>
      </w:r>
      <w:r>
        <w:t xml:space="preserve"> (au sens de la directive 2004/18). Conformément à l'article 2 du règlement FEAMPA, sont qualifiés d'"organisme de droit public", les autorités nationales, régionales ou locales, les organismes de droit public ou les associations formées par une ou plusieurs de ces autorités ou par un ou plusieurs de ces organismes de droit public.</w:t>
      </w:r>
    </w:p>
    <w:p w14:paraId="68F20707" w14:textId="77777777" w:rsidR="00CB083D" w:rsidRDefault="00CB083D" w:rsidP="000A31FD">
      <w:pPr>
        <w:spacing w:after="0"/>
        <w:jc w:val="both"/>
      </w:pPr>
      <w:r w:rsidRPr="00583DF3">
        <w:rPr>
          <w:u w:val="single"/>
        </w:rPr>
        <w:t>Organisme de recherche et de diffusion des connaissances :</w:t>
      </w:r>
      <w:r>
        <w:t xml:space="preserv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le but premier est d'exercer, en toute indépendance, des activités de recherche fondamentale, de recherche industrielle ou de développement expérimental, ou de diffuser largement les résultats de ces activités au moyen d'un enseignement, de publications ou de transferts de connaissance.</w:t>
      </w:r>
    </w:p>
    <w:p w14:paraId="4F393A5B" w14:textId="51EC1C32" w:rsidR="00CB083D" w:rsidRPr="000A31FD" w:rsidRDefault="00CB083D" w:rsidP="000A31FD">
      <w:pPr>
        <w:jc w:val="both"/>
      </w:pPr>
      <w:r>
        <w:t>Lorsqu'une telle entité exerce également des activités économiques, le financement, les coûts et les revenus de ces activités économiques doivent être comptabilisés séparément.</w:t>
      </w:r>
    </w:p>
    <w:p w14:paraId="61809FFB" w14:textId="77777777" w:rsidR="00CB083D" w:rsidRDefault="00CB083D" w:rsidP="00CB083D">
      <w:pPr>
        <w:spacing w:after="0"/>
        <w:jc w:val="both"/>
      </w:pPr>
      <w:r w:rsidRPr="00394784">
        <w:rPr>
          <w:u w:val="single"/>
        </w:rPr>
        <w:t>Recherche Industrielle</w:t>
      </w:r>
      <w:r>
        <w:t xml:space="preserve"> </w:t>
      </w:r>
      <w:r w:rsidRPr="00394784">
        <w:t>: la recherche planifiée ou des enquêtes critiques visant à acquérir de nouvelles connaissances et aptitudes en vue de mettre au point de nouveaux produits, procédés ou services, ou d’entraîner une amélioration notable de produits, procédés ou services existants. Elle comprend la création de composants de systèmes complexes et peut inclure la construction de prototypes dans un environnement de laboratoire ou dans un environnement à interfaces simulées vers les systèmes existants, ainsi que des lignes pilotes, lorsque c’est nécessaire pour la recherche industrielle, et notamment pour la validat</w:t>
      </w:r>
      <w:r>
        <w:t>ion de technologies génériques.</w:t>
      </w:r>
    </w:p>
    <w:p w14:paraId="1E8641BE" w14:textId="77777777" w:rsidR="00CB083D" w:rsidRDefault="00CB083D" w:rsidP="00CB083D">
      <w:pPr>
        <w:spacing w:after="0"/>
        <w:jc w:val="both"/>
      </w:pPr>
    </w:p>
    <w:p w14:paraId="1F94DC89" w14:textId="77777777" w:rsidR="00CB083D" w:rsidRDefault="00CB083D" w:rsidP="00CB083D">
      <w:pPr>
        <w:jc w:val="both"/>
      </w:pPr>
      <w:r w:rsidRPr="00394784">
        <w:rPr>
          <w:u w:val="single"/>
        </w:rPr>
        <w:t>Développement expérimental</w:t>
      </w:r>
      <w:r w:rsidRPr="00394784">
        <w:t xml:space="preserve"> : l’acquisition, l’association, la mise en forme et l’utilisation de connaissances et d’aptitudes scientifiques, technologiques, commerciales et autres pertinentes en vue de développer des produits, des procédés ou des services nouveaux ou améliorés. Il peut aussi s’agir, par exemple, d’activités visant la définition théorique et la planification de produits, de procédés ou de services nouveaux, ainsi que la consignation des informations qui s’y rapportent. Le développement expérimental peut comprendre la création de prototypes, la démonstration, l’élaboration de projets pilotes, les essais et la validation de produits, de procédés ou de services nouveaux ou améliorés dans des environnements représentatifs des conditions de la vie réelle, lorsque l’objectif premier est d’apporter des améliorations supplémentaires, au niveau technique, aux produits, procédés ou services qui ne sont pas en grande partie «</w:t>
      </w:r>
      <w:r>
        <w:t xml:space="preserve"> </w:t>
      </w:r>
      <w:r w:rsidRPr="00394784">
        <w:t>fixés</w:t>
      </w:r>
      <w:r>
        <w:t xml:space="preserve"> </w:t>
      </w:r>
      <w:r w:rsidRPr="00394784">
        <w:t xml:space="preserve">». Il peut comprendre la création de prototypes et de projets pilotes commercialement exploitables </w:t>
      </w:r>
      <w:r>
        <w:t>étant</w:t>
      </w:r>
      <w:r w:rsidRPr="00394784">
        <w:t xml:space="preserve"> les produits commerciaux fina</w:t>
      </w:r>
      <w:r>
        <w:t>ux car</w:t>
      </w:r>
      <w:r w:rsidRPr="00394784">
        <w:t xml:space="preserve"> trop onéreux à produire pour être utilisés uniquement à des fins de démonstration et de validation. Le développement expérimental ne comprend pas les modifications de routine ou périodiques apportées à des produits, lignes de production, procédés de fabrication et services existants et à d’autres opérations en cours, même si ces modifications peuvent représenter des améliorations</w:t>
      </w:r>
      <w:r>
        <w:t>.</w:t>
      </w:r>
    </w:p>
    <w:p w14:paraId="2CDD2453" w14:textId="77777777" w:rsidR="00CB083D" w:rsidRDefault="00CB083D" w:rsidP="00CB083D">
      <w:pPr>
        <w:rPr>
          <w:rFonts w:ascii="Calibri" w:hAnsi="Calibri" w:cs="Calibri"/>
        </w:rPr>
      </w:pPr>
      <w:r>
        <w:rPr>
          <w:rFonts w:ascii="Calibri" w:hAnsi="Calibri" w:cs="Calibri"/>
        </w:rPr>
        <w:br w:type="page"/>
      </w:r>
    </w:p>
    <w:p w14:paraId="3AC7529A" w14:textId="77777777" w:rsidR="00CB083D" w:rsidRDefault="00CB083D" w:rsidP="00CB083D">
      <w:pPr>
        <w:jc w:val="both"/>
        <w:rPr>
          <w:rFonts w:ascii="Calibri" w:hAnsi="Calibri" w:cs="Calibri"/>
        </w:rPr>
      </w:pPr>
    </w:p>
    <w:p w14:paraId="0BB8BE9B" w14:textId="77777777" w:rsidR="00CB083D" w:rsidRPr="00BF23D0" w:rsidRDefault="00CB083D" w:rsidP="00B33CA1">
      <w:pPr>
        <w:pStyle w:val="Titre2"/>
        <w:ind w:left="720"/>
        <w:jc w:val="center"/>
        <w:rPr>
          <w:rFonts w:asciiTheme="minorHAnsi" w:hAnsiTheme="minorHAnsi" w:cstheme="minorHAnsi"/>
          <w:b/>
          <w:bCs/>
          <w:color w:val="auto"/>
          <w:sz w:val="22"/>
          <w:u w:val="single"/>
        </w:rPr>
      </w:pPr>
      <w:bookmarkStart w:id="16" w:name="_Toc135040517"/>
      <w:r w:rsidRPr="00BF23D0">
        <w:rPr>
          <w:rFonts w:asciiTheme="minorHAnsi" w:hAnsiTheme="minorHAnsi" w:cstheme="minorHAnsi"/>
          <w:b/>
          <w:bCs/>
          <w:color w:val="auto"/>
          <w:sz w:val="22"/>
          <w:u w:val="single"/>
        </w:rPr>
        <w:t>Annexe 2 - Organisations professionnelles ou interprofessionnelles (liste ouverte)</w:t>
      </w:r>
      <w:bookmarkEnd w:id="16"/>
    </w:p>
    <w:p w14:paraId="4974FFEC" w14:textId="77777777" w:rsidR="00CB083D" w:rsidRPr="00BF23D0" w:rsidRDefault="00CB083D" w:rsidP="00CB083D">
      <w:pPr>
        <w:pStyle w:val="Style2"/>
        <w:outlineLvl w:val="1"/>
        <w:rPr>
          <w:rFonts w:asciiTheme="minorHAnsi" w:hAnsiTheme="minorHAnsi" w:cstheme="minorHAnsi"/>
        </w:rPr>
      </w:pPr>
    </w:p>
    <w:p w14:paraId="288AE2BE" w14:textId="77777777" w:rsidR="00CB083D" w:rsidRPr="0077290E" w:rsidRDefault="00CB083D" w:rsidP="00CB083D">
      <w:pPr>
        <w:numPr>
          <w:ilvl w:val="0"/>
          <w:numId w:val="42"/>
        </w:numPr>
        <w:suppressAutoHyphens/>
        <w:spacing w:after="0" w:line="240" w:lineRule="auto"/>
        <w:jc w:val="both"/>
        <w:rPr>
          <w:rFonts w:cstheme="minorHAnsi"/>
        </w:rPr>
      </w:pPr>
      <w:r w:rsidRPr="0035103F">
        <w:rPr>
          <w:rFonts w:cstheme="minorHAnsi"/>
        </w:rPr>
        <w:t>CNPMEM, CRPMEM et C</w:t>
      </w:r>
      <w:r>
        <w:rPr>
          <w:rFonts w:cstheme="minorHAnsi"/>
        </w:rPr>
        <w:t>(I)</w:t>
      </w:r>
      <w:r w:rsidRPr="0035103F">
        <w:rPr>
          <w:rFonts w:cstheme="minorHAnsi"/>
        </w:rPr>
        <w:t xml:space="preserve">DPMEM </w:t>
      </w:r>
    </w:p>
    <w:p w14:paraId="73295CFA" w14:textId="77777777" w:rsidR="00CB083D" w:rsidRPr="0035103F" w:rsidRDefault="00CB083D" w:rsidP="00CB083D">
      <w:pPr>
        <w:numPr>
          <w:ilvl w:val="0"/>
          <w:numId w:val="42"/>
        </w:numPr>
        <w:suppressAutoHyphens/>
        <w:spacing w:after="0" w:line="240" w:lineRule="auto"/>
        <w:jc w:val="both"/>
        <w:rPr>
          <w:rFonts w:cstheme="minorHAnsi"/>
        </w:rPr>
      </w:pPr>
      <w:r w:rsidRPr="0035103F">
        <w:rPr>
          <w:rFonts w:cstheme="minorHAnsi"/>
        </w:rPr>
        <w:t xml:space="preserve">Prud’homies de pêcheurs en Méditerranée </w:t>
      </w:r>
    </w:p>
    <w:p w14:paraId="14E0C761" w14:textId="77777777" w:rsidR="00CB083D" w:rsidRPr="0035103F" w:rsidRDefault="00CB083D" w:rsidP="00CB083D">
      <w:pPr>
        <w:numPr>
          <w:ilvl w:val="0"/>
          <w:numId w:val="42"/>
        </w:numPr>
        <w:suppressAutoHyphens/>
        <w:spacing w:after="0" w:line="240" w:lineRule="auto"/>
        <w:jc w:val="both"/>
        <w:rPr>
          <w:rFonts w:cstheme="minorHAnsi"/>
        </w:rPr>
      </w:pPr>
      <w:r w:rsidRPr="0035103F">
        <w:rPr>
          <w:rFonts w:cstheme="minorHAnsi"/>
        </w:rPr>
        <w:t xml:space="preserve">Chambre de l'agriculture, de la pêche et de l'aquaculture de Mayotte </w:t>
      </w:r>
    </w:p>
    <w:p w14:paraId="0E4D7EBA" w14:textId="77777777" w:rsidR="00CB083D" w:rsidRPr="0035103F" w:rsidRDefault="00CB083D" w:rsidP="00CB083D">
      <w:pPr>
        <w:numPr>
          <w:ilvl w:val="0"/>
          <w:numId w:val="42"/>
        </w:numPr>
        <w:suppressAutoHyphens/>
        <w:spacing w:after="0" w:line="240" w:lineRule="auto"/>
        <w:jc w:val="both"/>
        <w:rPr>
          <w:rFonts w:cstheme="minorHAnsi"/>
        </w:rPr>
      </w:pPr>
      <w:r w:rsidRPr="0035103F">
        <w:rPr>
          <w:rFonts w:cstheme="minorHAnsi"/>
        </w:rPr>
        <w:t>Organisations de producteurs et associations d’organisations de producteurs</w:t>
      </w:r>
    </w:p>
    <w:p w14:paraId="4E0358AC" w14:textId="77777777" w:rsidR="00CB083D" w:rsidRPr="0035103F" w:rsidRDefault="00CB083D" w:rsidP="00CB083D">
      <w:pPr>
        <w:numPr>
          <w:ilvl w:val="0"/>
          <w:numId w:val="42"/>
        </w:numPr>
        <w:suppressAutoHyphens/>
        <w:spacing w:after="0" w:line="240" w:lineRule="auto"/>
        <w:jc w:val="both"/>
        <w:rPr>
          <w:rFonts w:cstheme="minorHAnsi"/>
        </w:rPr>
      </w:pPr>
      <w:r w:rsidRPr="0035103F">
        <w:rPr>
          <w:rFonts w:cstheme="minorHAnsi"/>
        </w:rPr>
        <w:t>Coopérative maritime, association de coopératives maritimes, coopération maritime</w:t>
      </w:r>
    </w:p>
    <w:p w14:paraId="716D93AD" w14:textId="77777777" w:rsidR="00CB083D" w:rsidRPr="0035103F" w:rsidRDefault="00CB083D" w:rsidP="00CB083D">
      <w:pPr>
        <w:numPr>
          <w:ilvl w:val="0"/>
          <w:numId w:val="42"/>
        </w:numPr>
        <w:suppressAutoHyphens/>
        <w:spacing w:after="0" w:line="240" w:lineRule="auto"/>
        <w:jc w:val="both"/>
        <w:rPr>
          <w:rFonts w:cstheme="minorHAnsi"/>
        </w:rPr>
      </w:pPr>
      <w:r>
        <w:rPr>
          <w:rFonts w:cstheme="minorHAnsi"/>
        </w:rPr>
        <w:t>S</w:t>
      </w:r>
      <w:r w:rsidRPr="004F4FE6">
        <w:rPr>
          <w:rFonts w:cstheme="minorHAnsi"/>
        </w:rPr>
        <w:t>yndicats professionnels du secteur des pêches maritimes</w:t>
      </w:r>
    </w:p>
    <w:p w14:paraId="13C741D8" w14:textId="77777777" w:rsidR="00CB083D" w:rsidRPr="0035103F" w:rsidRDefault="00CB083D" w:rsidP="00CB083D">
      <w:pPr>
        <w:numPr>
          <w:ilvl w:val="0"/>
          <w:numId w:val="42"/>
        </w:numPr>
        <w:suppressAutoHyphens/>
        <w:spacing w:after="0" w:line="240" w:lineRule="auto"/>
        <w:jc w:val="both"/>
        <w:rPr>
          <w:rFonts w:cstheme="minorHAnsi"/>
        </w:rPr>
      </w:pPr>
      <w:r w:rsidRPr="0035103F">
        <w:rPr>
          <w:rFonts w:cstheme="minorHAnsi"/>
        </w:rPr>
        <w:t>France Filière Pêche (FFP)</w:t>
      </w:r>
    </w:p>
    <w:p w14:paraId="5E35C7D2" w14:textId="77777777" w:rsidR="00CB083D" w:rsidRPr="0035103F" w:rsidRDefault="00CB083D" w:rsidP="00CB083D">
      <w:pPr>
        <w:numPr>
          <w:ilvl w:val="0"/>
          <w:numId w:val="42"/>
        </w:numPr>
        <w:suppressAutoHyphens/>
        <w:spacing w:after="0" w:line="240" w:lineRule="auto"/>
        <w:jc w:val="both"/>
        <w:rPr>
          <w:rFonts w:cstheme="minorHAnsi"/>
        </w:rPr>
      </w:pPr>
      <w:r w:rsidRPr="0035103F">
        <w:rPr>
          <w:rFonts w:cstheme="minorHAnsi"/>
        </w:rPr>
        <w:t xml:space="preserve">Pôles de compétitivité en lien avec les technologies développées par le projet </w:t>
      </w:r>
    </w:p>
    <w:p w14:paraId="503FA0A6" w14:textId="77777777" w:rsidR="00CB083D" w:rsidRPr="0035103F" w:rsidRDefault="00CB083D" w:rsidP="00CB083D">
      <w:pPr>
        <w:numPr>
          <w:ilvl w:val="0"/>
          <w:numId w:val="42"/>
        </w:numPr>
        <w:suppressAutoHyphens/>
        <w:spacing w:after="0" w:line="240" w:lineRule="auto"/>
        <w:jc w:val="both"/>
        <w:rPr>
          <w:rFonts w:cstheme="minorHAnsi"/>
        </w:rPr>
      </w:pPr>
      <w:r w:rsidRPr="0035103F">
        <w:rPr>
          <w:rFonts w:cstheme="minorHAnsi"/>
        </w:rPr>
        <w:t>Union des Ports de France (UPF)</w:t>
      </w:r>
    </w:p>
    <w:p w14:paraId="3402E695" w14:textId="77777777" w:rsidR="00CB083D" w:rsidRDefault="00CB083D" w:rsidP="00CB083D">
      <w:pPr>
        <w:numPr>
          <w:ilvl w:val="0"/>
          <w:numId w:val="42"/>
        </w:numPr>
        <w:suppressAutoHyphens/>
        <w:spacing w:after="0" w:line="240" w:lineRule="auto"/>
        <w:jc w:val="both"/>
        <w:rPr>
          <w:rFonts w:cstheme="minorHAnsi"/>
        </w:rPr>
      </w:pPr>
      <w:r w:rsidRPr="0035103F">
        <w:rPr>
          <w:rFonts w:cstheme="minorHAnsi"/>
        </w:rPr>
        <w:t>Association des directeurs et responsables de halles à marée</w:t>
      </w:r>
    </w:p>
    <w:p w14:paraId="6E54B9A5" w14:textId="77777777" w:rsidR="00CB083D" w:rsidRPr="0035103F" w:rsidRDefault="00CB083D" w:rsidP="00CB083D">
      <w:pPr>
        <w:numPr>
          <w:ilvl w:val="0"/>
          <w:numId w:val="42"/>
        </w:numPr>
        <w:suppressAutoHyphens/>
        <w:spacing w:after="0" w:line="240" w:lineRule="auto"/>
        <w:jc w:val="both"/>
        <w:rPr>
          <w:rFonts w:cstheme="minorHAnsi"/>
        </w:rPr>
      </w:pPr>
      <w:r>
        <w:rPr>
          <w:rFonts w:cstheme="minorHAnsi"/>
        </w:rPr>
        <w:t>…</w:t>
      </w:r>
    </w:p>
    <w:p w14:paraId="4362CEC6" w14:textId="77777777" w:rsidR="00CB083D" w:rsidRDefault="00CB083D" w:rsidP="00CB083D">
      <w:pPr>
        <w:spacing w:after="0"/>
        <w:jc w:val="both"/>
        <w:rPr>
          <w:rFonts w:ascii="Arial" w:hAnsi="Arial" w:cs="Arial"/>
          <w:sz w:val="20"/>
        </w:rPr>
      </w:pPr>
    </w:p>
    <w:p w14:paraId="40A3680F" w14:textId="77777777" w:rsidR="00CB083D" w:rsidRDefault="00CB083D" w:rsidP="00CB083D">
      <w:pPr>
        <w:pStyle w:val="Style2"/>
        <w:outlineLvl w:val="1"/>
      </w:pPr>
      <w:bookmarkStart w:id="17" w:name="_Toc125721700"/>
      <w:bookmarkStart w:id="18" w:name="_Toc104372620"/>
      <w:bookmarkStart w:id="19" w:name="_Toc104811044"/>
    </w:p>
    <w:p w14:paraId="57DBD107" w14:textId="77777777" w:rsidR="00CB083D" w:rsidRPr="00BF23D0" w:rsidRDefault="00CB083D" w:rsidP="00B33CA1">
      <w:pPr>
        <w:pStyle w:val="Titre2"/>
        <w:ind w:left="720"/>
        <w:jc w:val="center"/>
        <w:rPr>
          <w:rFonts w:asciiTheme="minorHAnsi" w:hAnsiTheme="minorHAnsi" w:cstheme="minorHAnsi"/>
          <w:b/>
          <w:bCs/>
          <w:color w:val="auto"/>
          <w:sz w:val="22"/>
          <w:u w:val="single"/>
        </w:rPr>
      </w:pPr>
      <w:bookmarkStart w:id="20" w:name="_Hlk159922344"/>
      <w:bookmarkStart w:id="21" w:name="_Toc135040518"/>
      <w:r w:rsidRPr="00BF23D0">
        <w:rPr>
          <w:rFonts w:asciiTheme="minorHAnsi" w:hAnsiTheme="minorHAnsi" w:cstheme="minorHAnsi"/>
          <w:b/>
          <w:bCs/>
          <w:color w:val="auto"/>
          <w:sz w:val="22"/>
          <w:u w:val="single"/>
        </w:rPr>
        <w:t>Annexe 3 </w:t>
      </w:r>
      <w:bookmarkStart w:id="22" w:name="_Hlk162598004"/>
      <w:r w:rsidRPr="00BF23D0">
        <w:rPr>
          <w:rFonts w:asciiTheme="minorHAnsi" w:hAnsiTheme="minorHAnsi" w:cstheme="minorHAnsi"/>
          <w:b/>
          <w:bCs/>
          <w:color w:val="auto"/>
          <w:sz w:val="22"/>
          <w:u w:val="single"/>
        </w:rPr>
        <w:t>- Organismes techniques et scientifiques</w:t>
      </w:r>
      <w:bookmarkEnd w:id="17"/>
      <w:r w:rsidRPr="00BF23D0">
        <w:rPr>
          <w:rFonts w:asciiTheme="minorHAnsi" w:hAnsiTheme="minorHAnsi" w:cstheme="minorHAnsi"/>
          <w:b/>
          <w:bCs/>
          <w:color w:val="auto"/>
          <w:sz w:val="22"/>
          <w:u w:val="single"/>
        </w:rPr>
        <w:t xml:space="preserve"> </w:t>
      </w:r>
      <w:bookmarkEnd w:id="20"/>
      <w:bookmarkEnd w:id="22"/>
      <w:r w:rsidRPr="00BF23D0">
        <w:rPr>
          <w:rFonts w:asciiTheme="minorHAnsi" w:hAnsiTheme="minorHAnsi" w:cstheme="minorHAnsi"/>
          <w:b/>
          <w:bCs/>
          <w:color w:val="auto"/>
          <w:sz w:val="22"/>
          <w:u w:val="single"/>
        </w:rPr>
        <w:t>(liste ouverte)</w:t>
      </w:r>
      <w:bookmarkEnd w:id="21"/>
    </w:p>
    <w:bookmarkEnd w:id="18"/>
    <w:bookmarkEnd w:id="19"/>
    <w:p w14:paraId="26EEE19F" w14:textId="77777777" w:rsidR="00CB083D" w:rsidRPr="000A39D0" w:rsidRDefault="00CB083D" w:rsidP="00CB083D">
      <w:pPr>
        <w:spacing w:after="0"/>
        <w:rPr>
          <w:rFonts w:ascii="Arial" w:hAnsi="Arial" w:cs="Arial"/>
          <w:sz w:val="20"/>
          <w:szCs w:val="20"/>
        </w:rPr>
      </w:pPr>
    </w:p>
    <w:p w14:paraId="35524FB4" w14:textId="77777777" w:rsidR="00CB083D" w:rsidRPr="0035103F" w:rsidRDefault="00CB083D" w:rsidP="00CB083D">
      <w:pPr>
        <w:tabs>
          <w:tab w:val="left" w:pos="0"/>
        </w:tabs>
        <w:spacing w:after="0" w:line="240" w:lineRule="auto"/>
        <w:ind w:left="60"/>
        <w:jc w:val="both"/>
        <w:rPr>
          <w:rFonts w:cstheme="minorHAnsi"/>
        </w:rPr>
      </w:pPr>
      <w:r w:rsidRPr="0035103F">
        <w:rPr>
          <w:rFonts w:cstheme="minorHAnsi"/>
        </w:rPr>
        <w:t>Ces organismes doivent disposer de compétences techniques ou scientifiques leur permettant d’exercer des missions d’intérêt général dans les domaines techniques et scientifiques. Parmi ceux-ci, les organismes scientifiques ou techniques sous tutelle (les centres techniques nationaux ou régionaux, les unités de recherche des écoles nationales, des universités, les instituts techniques, les laboratoires publics) et les organismes scientifiques ou techniques travaillant directement avec l’Etat et les régions (représentation de l’Etat/régions, établissements publics au sein de leur Conseil d’administration ou de leur Conseil scientifique, conventions bilatérales).</w:t>
      </w:r>
    </w:p>
    <w:p w14:paraId="31C8760C" w14:textId="77777777" w:rsidR="00CB083D" w:rsidRDefault="00CB083D" w:rsidP="00CB083D">
      <w:pPr>
        <w:tabs>
          <w:tab w:val="left" w:pos="0"/>
        </w:tabs>
        <w:spacing w:after="0" w:line="240" w:lineRule="auto"/>
        <w:ind w:left="62"/>
        <w:jc w:val="both"/>
        <w:rPr>
          <w:rFonts w:cstheme="minorHAnsi"/>
        </w:rPr>
      </w:pPr>
    </w:p>
    <w:p w14:paraId="26C30205" w14:textId="40803C40" w:rsidR="008C5091" w:rsidRPr="00394784" w:rsidRDefault="00CB083D" w:rsidP="008C5091">
      <w:pPr>
        <w:tabs>
          <w:tab w:val="left" w:pos="0"/>
        </w:tabs>
        <w:spacing w:after="0" w:line="240" w:lineRule="auto"/>
        <w:ind w:left="62"/>
        <w:jc w:val="both"/>
        <w:rPr>
          <w:rFonts w:cstheme="minorHAnsi"/>
        </w:rPr>
      </w:pPr>
      <w:r w:rsidRPr="00394784">
        <w:rPr>
          <w:rFonts w:cstheme="minorHAnsi"/>
        </w:rPr>
        <w:t>Ces organismes doivent :</w:t>
      </w:r>
    </w:p>
    <w:p w14:paraId="16334708" w14:textId="6CC7B1F0" w:rsidR="00CB083D" w:rsidRPr="000A31FD" w:rsidRDefault="00CB083D" w:rsidP="000A31FD">
      <w:pPr>
        <w:tabs>
          <w:tab w:val="left" w:pos="0"/>
        </w:tabs>
        <w:spacing w:after="0" w:line="240" w:lineRule="auto"/>
        <w:jc w:val="both"/>
        <w:rPr>
          <w:rFonts w:cstheme="minorHAnsi"/>
          <w:bCs/>
        </w:rPr>
      </w:pPr>
    </w:p>
    <w:p w14:paraId="4838CA09" w14:textId="358DC19D" w:rsidR="00CB083D" w:rsidRPr="00394784" w:rsidRDefault="008C5091" w:rsidP="00CB083D">
      <w:pPr>
        <w:numPr>
          <w:ilvl w:val="0"/>
          <w:numId w:val="35"/>
        </w:numPr>
        <w:tabs>
          <w:tab w:val="left" w:pos="0"/>
        </w:tabs>
        <w:spacing w:after="0" w:line="240" w:lineRule="auto"/>
        <w:ind w:left="419" w:hanging="357"/>
        <w:jc w:val="both"/>
        <w:rPr>
          <w:rFonts w:cstheme="minorHAnsi"/>
          <w:b/>
        </w:rPr>
      </w:pPr>
      <w:r>
        <w:rPr>
          <w:rFonts w:cstheme="minorHAnsi"/>
          <w:b/>
        </w:rPr>
        <w:t>Soit ê</w:t>
      </w:r>
      <w:r w:rsidR="00CB083D" w:rsidRPr="00394784">
        <w:rPr>
          <w:rFonts w:cstheme="minorHAnsi"/>
          <w:b/>
        </w:rPr>
        <w:t xml:space="preserve">tre des établissements publics </w:t>
      </w:r>
    </w:p>
    <w:p w14:paraId="45AB83BA" w14:textId="77777777" w:rsidR="00CB083D" w:rsidRPr="00394784" w:rsidRDefault="00CB083D" w:rsidP="00CB083D">
      <w:pPr>
        <w:tabs>
          <w:tab w:val="left" w:pos="0"/>
        </w:tabs>
        <w:spacing w:after="0" w:line="240" w:lineRule="auto"/>
        <w:jc w:val="both"/>
        <w:rPr>
          <w:rFonts w:cstheme="minorHAnsi"/>
        </w:rPr>
      </w:pPr>
    </w:p>
    <w:p w14:paraId="5FE942D8" w14:textId="77777777" w:rsidR="00CB083D" w:rsidRPr="00394784" w:rsidRDefault="00CB083D" w:rsidP="00CB083D">
      <w:pPr>
        <w:pStyle w:val="Paragraphedeliste"/>
        <w:numPr>
          <w:ilvl w:val="0"/>
          <w:numId w:val="41"/>
        </w:numPr>
        <w:tabs>
          <w:tab w:val="left" w:pos="0"/>
        </w:tabs>
        <w:spacing w:after="0" w:line="240" w:lineRule="auto"/>
        <w:jc w:val="both"/>
        <w:rPr>
          <w:rFonts w:cstheme="minorHAnsi"/>
        </w:rPr>
      </w:pPr>
      <w:r w:rsidRPr="00394784">
        <w:rPr>
          <w:rFonts w:cstheme="minorHAnsi"/>
          <w:b/>
        </w:rPr>
        <w:t>Etablissements publics à caractère scientifique et technologique (EPST)</w:t>
      </w:r>
      <w:r w:rsidRPr="00394784">
        <w:rPr>
          <w:rFonts w:cstheme="minorHAnsi"/>
        </w:rPr>
        <w:t> :</w:t>
      </w:r>
    </w:p>
    <w:p w14:paraId="12B6553A"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Centre national de la recherche scientifique (CNRS)</w:t>
      </w:r>
    </w:p>
    <w:p w14:paraId="77F0561A"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Institut national de recherche pour l'agriculture, l'alimentation et l'environnement</w:t>
      </w:r>
      <w:r w:rsidRPr="00394784" w:rsidDel="00DC22DB">
        <w:rPr>
          <w:rFonts w:cstheme="minorHAnsi"/>
        </w:rPr>
        <w:t xml:space="preserve"> </w:t>
      </w:r>
      <w:r w:rsidRPr="00394784">
        <w:rPr>
          <w:rFonts w:cstheme="minorHAnsi"/>
        </w:rPr>
        <w:t>(INRAE),</w:t>
      </w:r>
    </w:p>
    <w:p w14:paraId="5A2420F3"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Institut national de recherche en sciences et technologies du numérique (INRIA),</w:t>
      </w:r>
    </w:p>
    <w:p w14:paraId="3710EDB5"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Institut de recherche pour le développement (IRD),</w:t>
      </w:r>
    </w:p>
    <w:p w14:paraId="1F7C1405"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Muséum</w:t>
      </w:r>
      <w:r>
        <w:rPr>
          <w:rFonts w:cstheme="minorHAnsi"/>
        </w:rPr>
        <w:t xml:space="preserve"> national</w:t>
      </w:r>
      <w:r w:rsidRPr="00394784">
        <w:rPr>
          <w:rFonts w:cstheme="minorHAnsi"/>
        </w:rPr>
        <w:t xml:space="preserve"> d’histoire naturelle</w:t>
      </w:r>
      <w:r>
        <w:rPr>
          <w:rFonts w:cstheme="minorHAnsi"/>
        </w:rPr>
        <w:t xml:space="preserve"> (MNHN)</w:t>
      </w:r>
      <w:r w:rsidRPr="00394784">
        <w:rPr>
          <w:rFonts w:cstheme="minorHAnsi"/>
        </w:rPr>
        <w:t>,</w:t>
      </w:r>
    </w:p>
    <w:p w14:paraId="7618C06E" w14:textId="77777777" w:rsidR="00CB083D" w:rsidRPr="00394784" w:rsidRDefault="00CB083D" w:rsidP="00CB083D">
      <w:pPr>
        <w:tabs>
          <w:tab w:val="left" w:pos="0"/>
        </w:tabs>
        <w:spacing w:after="0" w:line="240" w:lineRule="auto"/>
        <w:jc w:val="both"/>
        <w:rPr>
          <w:rFonts w:cstheme="minorHAnsi"/>
        </w:rPr>
      </w:pPr>
    </w:p>
    <w:p w14:paraId="2E9B3A24" w14:textId="77777777" w:rsidR="00CB083D" w:rsidRPr="00394784" w:rsidRDefault="00CB083D" w:rsidP="00CB083D">
      <w:pPr>
        <w:pStyle w:val="Paragraphedeliste"/>
        <w:numPr>
          <w:ilvl w:val="0"/>
          <w:numId w:val="41"/>
        </w:numPr>
        <w:tabs>
          <w:tab w:val="left" w:pos="0"/>
        </w:tabs>
        <w:spacing w:after="0" w:line="240" w:lineRule="auto"/>
        <w:jc w:val="both"/>
        <w:rPr>
          <w:rFonts w:cstheme="minorHAnsi"/>
          <w:b/>
        </w:rPr>
      </w:pPr>
      <w:r w:rsidRPr="00394784">
        <w:rPr>
          <w:rFonts w:cstheme="minorHAnsi"/>
          <w:b/>
        </w:rPr>
        <w:t>Etablissements publics à caractère industriel et commercial (EPIC) :</w:t>
      </w:r>
    </w:p>
    <w:p w14:paraId="14124C6D"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Centre de coopération internationale en recherche agronomique pour le développement (CIRAD),</w:t>
      </w:r>
    </w:p>
    <w:p w14:paraId="1D0AA0CE"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Institut français de recherche pour l'exploitation de la mer (IFREMER),</w:t>
      </w:r>
    </w:p>
    <w:p w14:paraId="3BC7C2F2"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Agence de l'environnement et de la maîtrise de l'énergie (ADEME),</w:t>
      </w:r>
    </w:p>
    <w:p w14:paraId="798E9C05" w14:textId="77777777" w:rsidR="00CB083D" w:rsidRPr="00394784" w:rsidRDefault="00CB083D" w:rsidP="00CB083D">
      <w:pPr>
        <w:tabs>
          <w:tab w:val="left" w:pos="0"/>
        </w:tabs>
        <w:spacing w:after="0" w:line="240" w:lineRule="auto"/>
        <w:jc w:val="both"/>
        <w:rPr>
          <w:rFonts w:cstheme="minorHAnsi"/>
        </w:rPr>
      </w:pPr>
    </w:p>
    <w:p w14:paraId="6F047169" w14:textId="77777777" w:rsidR="00CB083D" w:rsidRPr="00394784" w:rsidRDefault="00CB083D" w:rsidP="00CB083D">
      <w:pPr>
        <w:pStyle w:val="Paragraphedeliste"/>
        <w:numPr>
          <w:ilvl w:val="0"/>
          <w:numId w:val="41"/>
        </w:numPr>
        <w:tabs>
          <w:tab w:val="left" w:pos="0"/>
        </w:tabs>
        <w:spacing w:after="0" w:line="240" w:lineRule="auto"/>
        <w:jc w:val="both"/>
        <w:rPr>
          <w:rFonts w:cstheme="minorHAnsi"/>
        </w:rPr>
      </w:pPr>
      <w:r w:rsidRPr="00394784">
        <w:rPr>
          <w:rFonts w:cstheme="minorHAnsi"/>
          <w:b/>
        </w:rPr>
        <w:t>Etablissements publics à caractère scientifique, culturel et professionnel</w:t>
      </w:r>
      <w:r w:rsidRPr="00394784">
        <w:rPr>
          <w:rFonts w:cstheme="minorHAnsi"/>
        </w:rPr>
        <w:t xml:space="preserve"> (universités, grands établissements, écoles normales supérieures, écoles d’ingénieur) : Les établissements recensés sur le site du MESRI : https://data.enseignementsup-recherche.gouv.fr/explore/dataset/fr-esr-principaux-etablissements-enseignement-superieur/table/?disjunctive.type_d_etablissement&amp;disjunctive.typologie_d_universites_et_assimiles.</w:t>
      </w:r>
    </w:p>
    <w:p w14:paraId="187FC441" w14:textId="77777777" w:rsidR="00CB083D" w:rsidRPr="00394784" w:rsidRDefault="00CB083D" w:rsidP="00CB083D">
      <w:pPr>
        <w:tabs>
          <w:tab w:val="left" w:pos="0"/>
        </w:tabs>
        <w:spacing w:after="0" w:line="240" w:lineRule="auto"/>
        <w:jc w:val="both"/>
        <w:rPr>
          <w:rFonts w:cstheme="minorHAnsi"/>
        </w:rPr>
      </w:pPr>
    </w:p>
    <w:p w14:paraId="7898B5DF" w14:textId="77777777" w:rsidR="00CB083D" w:rsidRPr="00394784" w:rsidRDefault="00CB083D" w:rsidP="00CB083D">
      <w:pPr>
        <w:pStyle w:val="Paragraphedeliste"/>
        <w:numPr>
          <w:ilvl w:val="0"/>
          <w:numId w:val="41"/>
        </w:numPr>
        <w:tabs>
          <w:tab w:val="left" w:pos="0"/>
        </w:tabs>
        <w:spacing w:after="0" w:line="240" w:lineRule="auto"/>
        <w:jc w:val="both"/>
        <w:rPr>
          <w:rFonts w:cstheme="minorHAnsi"/>
          <w:b/>
        </w:rPr>
      </w:pPr>
      <w:r w:rsidRPr="00394784">
        <w:rPr>
          <w:rFonts w:cstheme="minorHAnsi"/>
          <w:b/>
        </w:rPr>
        <w:t>Etablissements publics à caractère administratif (EPA) :</w:t>
      </w:r>
    </w:p>
    <w:p w14:paraId="15861810"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Agence nationale chargée de la sécurité sanitaire de l'alimentation, de l'environnement et du travail (ANSES),</w:t>
      </w:r>
    </w:p>
    <w:p w14:paraId="5455CE97"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Centre d'études et d'expertise sur les risques, l'environnement, la mobilité et l'aménagement (CEREMA),</w:t>
      </w:r>
    </w:p>
    <w:p w14:paraId="7AE35A35"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Office français de la biodiversité (OFB),</w:t>
      </w:r>
    </w:p>
    <w:p w14:paraId="7F089DE8" w14:textId="77777777" w:rsidR="00CB083D" w:rsidRPr="00394784" w:rsidRDefault="00CB083D" w:rsidP="00CB083D">
      <w:pPr>
        <w:numPr>
          <w:ilvl w:val="1"/>
          <w:numId w:val="34"/>
        </w:numPr>
        <w:tabs>
          <w:tab w:val="left" w:pos="0"/>
        </w:tabs>
        <w:spacing w:after="0" w:line="240" w:lineRule="auto"/>
        <w:jc w:val="both"/>
        <w:rPr>
          <w:rFonts w:cstheme="minorHAnsi"/>
        </w:rPr>
      </w:pPr>
      <w:r w:rsidRPr="00394784">
        <w:rPr>
          <w:rFonts w:cstheme="minorHAnsi"/>
        </w:rPr>
        <w:t>Laboratoires publics,</w:t>
      </w:r>
    </w:p>
    <w:p w14:paraId="133565B7" w14:textId="77777777" w:rsidR="008C5091" w:rsidRDefault="008C5091" w:rsidP="00CB083D">
      <w:pPr>
        <w:tabs>
          <w:tab w:val="left" w:pos="0"/>
        </w:tabs>
        <w:spacing w:after="0" w:line="240" w:lineRule="auto"/>
        <w:jc w:val="both"/>
        <w:rPr>
          <w:rFonts w:cstheme="minorHAnsi"/>
          <w:b/>
        </w:rPr>
      </w:pPr>
    </w:p>
    <w:p w14:paraId="089EDAD3" w14:textId="3AECAE28" w:rsidR="00CB083D" w:rsidRPr="00394784" w:rsidRDefault="00CB083D" w:rsidP="00CB083D">
      <w:pPr>
        <w:tabs>
          <w:tab w:val="left" w:pos="0"/>
        </w:tabs>
        <w:spacing w:after="0" w:line="240" w:lineRule="auto"/>
        <w:jc w:val="both"/>
        <w:rPr>
          <w:rFonts w:cstheme="minorHAnsi"/>
          <w:b/>
        </w:rPr>
      </w:pPr>
    </w:p>
    <w:p w14:paraId="513D88C6" w14:textId="5B0FA1A1" w:rsidR="00CB083D" w:rsidRPr="00394784" w:rsidRDefault="008C5091" w:rsidP="00CB083D">
      <w:pPr>
        <w:numPr>
          <w:ilvl w:val="0"/>
          <w:numId w:val="35"/>
        </w:numPr>
        <w:tabs>
          <w:tab w:val="left" w:pos="0"/>
        </w:tabs>
        <w:spacing w:after="0" w:line="240" w:lineRule="auto"/>
        <w:ind w:left="419" w:hanging="357"/>
        <w:jc w:val="both"/>
        <w:rPr>
          <w:rFonts w:cstheme="minorHAnsi"/>
          <w:b/>
        </w:rPr>
      </w:pPr>
      <w:r>
        <w:rPr>
          <w:rFonts w:cstheme="minorHAnsi"/>
          <w:b/>
        </w:rPr>
        <w:t xml:space="preserve">Soit être </w:t>
      </w:r>
      <w:r w:rsidR="00CB083D" w:rsidRPr="00394784">
        <w:rPr>
          <w:rFonts w:cstheme="minorHAnsi"/>
          <w:b/>
        </w:rPr>
        <w:t>reconnus officiellement par les pouvoirs publics (ex. le ministère de l'Enseignement supérieur et de la Recherche) par l’obtention de l'un des différents labels suivants :</w:t>
      </w:r>
    </w:p>
    <w:p w14:paraId="40B4EFA4" w14:textId="77777777" w:rsidR="00CB083D" w:rsidRPr="00394784" w:rsidRDefault="00CB083D" w:rsidP="00CB083D">
      <w:pPr>
        <w:pStyle w:val="Paragraphedeliste"/>
        <w:numPr>
          <w:ilvl w:val="0"/>
          <w:numId w:val="36"/>
        </w:numPr>
        <w:tabs>
          <w:tab w:val="left" w:pos="0"/>
        </w:tabs>
        <w:spacing w:after="0" w:line="240" w:lineRule="auto"/>
        <w:ind w:left="993"/>
        <w:jc w:val="both"/>
        <w:rPr>
          <w:rFonts w:cstheme="minorHAnsi"/>
        </w:rPr>
      </w:pPr>
      <w:proofErr w:type="gramStart"/>
      <w:r w:rsidRPr="00394784">
        <w:rPr>
          <w:rFonts w:cstheme="minorHAnsi"/>
        </w:rPr>
        <w:t>la</w:t>
      </w:r>
      <w:proofErr w:type="gramEnd"/>
      <w:r w:rsidRPr="00394784">
        <w:rPr>
          <w:rFonts w:cstheme="minorHAnsi"/>
        </w:rPr>
        <w:t xml:space="preserve"> qualification nationale d’ITAI – Institut Technique Agro-industriel (par le Ministère de l’agriculture et de l’alimentation),</w:t>
      </w:r>
    </w:p>
    <w:p w14:paraId="785A4D01" w14:textId="77777777" w:rsidR="00CB083D" w:rsidRPr="00394784" w:rsidRDefault="00CB083D" w:rsidP="00CB083D">
      <w:pPr>
        <w:pStyle w:val="Paragraphedeliste"/>
        <w:numPr>
          <w:ilvl w:val="0"/>
          <w:numId w:val="36"/>
        </w:numPr>
        <w:tabs>
          <w:tab w:val="left" w:pos="0"/>
        </w:tabs>
        <w:spacing w:after="0" w:line="240" w:lineRule="auto"/>
        <w:ind w:left="993"/>
        <w:jc w:val="both"/>
        <w:rPr>
          <w:rFonts w:cstheme="minorHAnsi"/>
        </w:rPr>
      </w:pPr>
      <w:proofErr w:type="gramStart"/>
      <w:r w:rsidRPr="00394784">
        <w:rPr>
          <w:rFonts w:cstheme="minorHAnsi"/>
        </w:rPr>
        <w:t>le</w:t>
      </w:r>
      <w:proofErr w:type="gramEnd"/>
      <w:r w:rsidRPr="00394784">
        <w:rPr>
          <w:rFonts w:cstheme="minorHAnsi"/>
        </w:rPr>
        <w:t xml:space="preserve"> label C.R.T (Centre de Ressources Technologiques),</w:t>
      </w:r>
    </w:p>
    <w:p w14:paraId="3B4904D1" w14:textId="77777777" w:rsidR="00CB083D" w:rsidRPr="00394784" w:rsidRDefault="00CB083D" w:rsidP="00CB083D">
      <w:pPr>
        <w:pStyle w:val="Paragraphedeliste"/>
        <w:numPr>
          <w:ilvl w:val="0"/>
          <w:numId w:val="36"/>
        </w:numPr>
        <w:tabs>
          <w:tab w:val="left" w:pos="0"/>
        </w:tabs>
        <w:spacing w:after="0" w:line="240" w:lineRule="auto"/>
        <w:ind w:left="993"/>
        <w:jc w:val="both"/>
        <w:rPr>
          <w:rFonts w:cstheme="minorHAnsi"/>
        </w:rPr>
      </w:pPr>
      <w:proofErr w:type="gramStart"/>
      <w:r w:rsidRPr="00394784">
        <w:rPr>
          <w:rFonts w:cstheme="minorHAnsi"/>
        </w:rPr>
        <w:t>le</w:t>
      </w:r>
      <w:proofErr w:type="gramEnd"/>
      <w:r w:rsidRPr="00394784">
        <w:rPr>
          <w:rFonts w:cstheme="minorHAnsi"/>
        </w:rPr>
        <w:t xml:space="preserve"> label d’Institut Carnot,</w:t>
      </w:r>
    </w:p>
    <w:p w14:paraId="7B4A9DAA" w14:textId="77777777" w:rsidR="00CB083D" w:rsidRPr="00394784" w:rsidRDefault="00CB083D" w:rsidP="00CB083D">
      <w:pPr>
        <w:pStyle w:val="Paragraphedeliste"/>
        <w:numPr>
          <w:ilvl w:val="0"/>
          <w:numId w:val="36"/>
        </w:numPr>
        <w:tabs>
          <w:tab w:val="left" w:pos="0"/>
        </w:tabs>
        <w:spacing w:after="0" w:line="240" w:lineRule="auto"/>
        <w:ind w:left="993"/>
        <w:jc w:val="both"/>
        <w:rPr>
          <w:rFonts w:cstheme="minorHAnsi"/>
        </w:rPr>
      </w:pPr>
      <w:proofErr w:type="gramStart"/>
      <w:r w:rsidRPr="00394784">
        <w:rPr>
          <w:rFonts w:cstheme="minorHAnsi"/>
        </w:rPr>
        <w:t>cellule</w:t>
      </w:r>
      <w:proofErr w:type="gramEnd"/>
      <w:r w:rsidRPr="00394784">
        <w:rPr>
          <w:rFonts w:cstheme="minorHAnsi"/>
        </w:rPr>
        <w:t xml:space="preserve"> de diffusion technologique (CDT),</w:t>
      </w:r>
    </w:p>
    <w:p w14:paraId="788F777E" w14:textId="77777777" w:rsidR="00CB083D" w:rsidRPr="00394784" w:rsidRDefault="00CB083D" w:rsidP="00CB083D">
      <w:pPr>
        <w:pStyle w:val="Paragraphedeliste"/>
        <w:numPr>
          <w:ilvl w:val="0"/>
          <w:numId w:val="36"/>
        </w:numPr>
        <w:tabs>
          <w:tab w:val="left" w:pos="0"/>
        </w:tabs>
        <w:spacing w:after="0" w:line="240" w:lineRule="auto"/>
        <w:ind w:left="993"/>
        <w:jc w:val="both"/>
        <w:rPr>
          <w:rFonts w:cstheme="minorHAnsi"/>
        </w:rPr>
      </w:pPr>
      <w:proofErr w:type="gramStart"/>
      <w:r w:rsidRPr="00394784">
        <w:rPr>
          <w:rFonts w:cstheme="minorHAnsi"/>
        </w:rPr>
        <w:t>plate</w:t>
      </w:r>
      <w:proofErr w:type="gramEnd"/>
      <w:r w:rsidRPr="00394784">
        <w:rPr>
          <w:rFonts w:cstheme="minorHAnsi"/>
        </w:rPr>
        <w:t>-forme technologique (PFT),</w:t>
      </w:r>
    </w:p>
    <w:p w14:paraId="32E81CFA" w14:textId="77777777" w:rsidR="00CB083D" w:rsidRPr="00394784" w:rsidRDefault="00CB083D" w:rsidP="00CB083D">
      <w:pPr>
        <w:pStyle w:val="Paragraphedeliste"/>
        <w:numPr>
          <w:ilvl w:val="0"/>
          <w:numId w:val="36"/>
        </w:numPr>
        <w:tabs>
          <w:tab w:val="left" w:pos="0"/>
        </w:tabs>
        <w:spacing w:after="0" w:line="240" w:lineRule="auto"/>
        <w:ind w:left="993"/>
        <w:jc w:val="both"/>
        <w:rPr>
          <w:rFonts w:cstheme="minorHAnsi"/>
        </w:rPr>
      </w:pPr>
      <w:proofErr w:type="gramStart"/>
      <w:r w:rsidRPr="00394784">
        <w:rPr>
          <w:rFonts w:cstheme="minorHAnsi"/>
          <w:lang w:eastAsia="fr-FR"/>
        </w:rPr>
        <w:t>l’agrément</w:t>
      </w:r>
      <w:proofErr w:type="gramEnd"/>
      <w:r w:rsidRPr="00394784">
        <w:rPr>
          <w:rFonts w:cstheme="minorHAnsi"/>
          <w:lang w:eastAsia="fr-FR"/>
        </w:rPr>
        <w:t xml:space="preserve">, par le ministère chargé de la recherche ou par le ministère chargé de l'industrie, des organismes ou entreprises exécutant, pour des tiers, des opérations d'innovation et/ou des opérations de recherche et développement ouvrant droit au crédit d'impôt innovation et/ou au crédit d'impôt recherche. </w:t>
      </w:r>
    </w:p>
    <w:p w14:paraId="0DAC7492" w14:textId="2CC2DF64" w:rsidR="00CB083D" w:rsidRPr="00394784" w:rsidRDefault="00CB083D" w:rsidP="00CB083D">
      <w:pPr>
        <w:tabs>
          <w:tab w:val="left" w:pos="0"/>
        </w:tabs>
        <w:spacing w:after="0" w:line="240" w:lineRule="auto"/>
        <w:jc w:val="both"/>
        <w:rPr>
          <w:rFonts w:cstheme="minorHAnsi"/>
          <w:b/>
        </w:rPr>
      </w:pPr>
    </w:p>
    <w:p w14:paraId="2C00BF09" w14:textId="61E7A160" w:rsidR="00CB083D" w:rsidRPr="00394784" w:rsidRDefault="008C5091" w:rsidP="00CB083D">
      <w:pPr>
        <w:numPr>
          <w:ilvl w:val="0"/>
          <w:numId w:val="35"/>
        </w:numPr>
        <w:tabs>
          <w:tab w:val="left" w:pos="0"/>
        </w:tabs>
        <w:spacing w:after="0" w:line="240" w:lineRule="auto"/>
        <w:jc w:val="both"/>
        <w:rPr>
          <w:rFonts w:cstheme="minorHAnsi"/>
        </w:rPr>
      </w:pPr>
      <w:bookmarkStart w:id="23" w:name="_Hlk162597765"/>
      <w:r>
        <w:rPr>
          <w:rFonts w:cstheme="minorHAnsi"/>
          <w:b/>
        </w:rPr>
        <w:t>Soit a</w:t>
      </w:r>
      <w:r w:rsidR="00CB083D" w:rsidRPr="00394784">
        <w:rPr>
          <w:rFonts w:cstheme="minorHAnsi"/>
          <w:b/>
        </w:rPr>
        <w:t xml:space="preserve">voir </w:t>
      </w:r>
      <w:bookmarkStart w:id="24" w:name="_Hlk162610293"/>
      <w:r w:rsidR="00CB083D" w:rsidRPr="00394784">
        <w:rPr>
          <w:rFonts w:cstheme="minorHAnsi"/>
          <w:b/>
        </w:rPr>
        <w:t>pour objet statutaire une mission relevant de l’intérêt général</w:t>
      </w:r>
      <w:r w:rsidR="00CB083D" w:rsidRPr="00394784">
        <w:rPr>
          <w:rFonts w:cstheme="minorHAnsi"/>
        </w:rPr>
        <w:t xml:space="preserve"> (activité non lucrative, gestion désintéressée, intérêt collectif dépassant la structure ou adhésion ouverte) :</w:t>
      </w:r>
    </w:p>
    <w:p w14:paraId="33AD8660" w14:textId="77777777" w:rsidR="00CB083D" w:rsidRPr="00394784" w:rsidRDefault="00CB083D" w:rsidP="00CB083D">
      <w:pPr>
        <w:pStyle w:val="Paragraphedeliste"/>
        <w:numPr>
          <w:ilvl w:val="0"/>
          <w:numId w:val="39"/>
        </w:numPr>
        <w:tabs>
          <w:tab w:val="left" w:pos="0"/>
        </w:tabs>
        <w:spacing w:after="0" w:line="240" w:lineRule="auto"/>
        <w:ind w:left="993"/>
        <w:jc w:val="both"/>
        <w:rPr>
          <w:rFonts w:cstheme="minorHAnsi"/>
        </w:rPr>
      </w:pPr>
      <w:proofErr w:type="gramStart"/>
      <w:r w:rsidRPr="00394784">
        <w:rPr>
          <w:rFonts w:cstheme="minorHAnsi"/>
        </w:rPr>
        <w:t>soit</w:t>
      </w:r>
      <w:proofErr w:type="gramEnd"/>
      <w:r w:rsidRPr="00394784">
        <w:rPr>
          <w:rFonts w:cstheme="minorHAnsi"/>
        </w:rPr>
        <w:t xml:space="preserve"> dans les domaines techniques ou scientifiques,</w:t>
      </w:r>
    </w:p>
    <w:p w14:paraId="2308DD01" w14:textId="77777777" w:rsidR="00CB083D" w:rsidRPr="00394784" w:rsidRDefault="00CB083D" w:rsidP="00CB083D">
      <w:pPr>
        <w:pStyle w:val="Paragraphedeliste"/>
        <w:numPr>
          <w:ilvl w:val="0"/>
          <w:numId w:val="39"/>
        </w:numPr>
        <w:tabs>
          <w:tab w:val="left" w:pos="0"/>
        </w:tabs>
        <w:spacing w:after="0" w:line="240" w:lineRule="auto"/>
        <w:ind w:left="993"/>
        <w:jc w:val="both"/>
        <w:rPr>
          <w:rFonts w:cstheme="minorHAnsi"/>
        </w:rPr>
      </w:pPr>
      <w:proofErr w:type="gramStart"/>
      <w:r w:rsidRPr="00394784">
        <w:rPr>
          <w:rFonts w:cstheme="minorHAnsi"/>
        </w:rPr>
        <w:t>soit</w:t>
      </w:r>
      <w:proofErr w:type="gramEnd"/>
      <w:r w:rsidRPr="00394784">
        <w:rPr>
          <w:rFonts w:cstheme="minorHAnsi"/>
        </w:rPr>
        <w:t xml:space="preserve"> dans le transfert technologique ou d’innovation,</w:t>
      </w:r>
    </w:p>
    <w:p w14:paraId="261337D2" w14:textId="77777777" w:rsidR="00CB083D" w:rsidRPr="00394784" w:rsidRDefault="00CB083D" w:rsidP="00CB083D">
      <w:pPr>
        <w:pStyle w:val="Paragraphedeliste"/>
        <w:numPr>
          <w:ilvl w:val="0"/>
          <w:numId w:val="39"/>
        </w:numPr>
        <w:tabs>
          <w:tab w:val="left" w:pos="0"/>
        </w:tabs>
        <w:spacing w:after="0" w:line="240" w:lineRule="auto"/>
        <w:ind w:left="993"/>
        <w:jc w:val="both"/>
        <w:rPr>
          <w:rFonts w:cstheme="minorHAnsi"/>
        </w:rPr>
      </w:pPr>
      <w:proofErr w:type="gramStart"/>
      <w:r w:rsidRPr="00394784">
        <w:rPr>
          <w:rFonts w:cstheme="minorHAnsi"/>
        </w:rPr>
        <w:t>soit</w:t>
      </w:r>
      <w:proofErr w:type="gramEnd"/>
      <w:r w:rsidRPr="00394784">
        <w:rPr>
          <w:rFonts w:cstheme="minorHAnsi"/>
        </w:rPr>
        <w:t xml:space="preserve"> dans l’application des résultats de la recherche publique au monde professionnel, </w:t>
      </w:r>
    </w:p>
    <w:bookmarkEnd w:id="23"/>
    <w:bookmarkEnd w:id="24"/>
    <w:p w14:paraId="541FBD4F" w14:textId="752F5591" w:rsidR="00CB083D" w:rsidRPr="00394784" w:rsidRDefault="00CB083D" w:rsidP="00CB083D">
      <w:pPr>
        <w:tabs>
          <w:tab w:val="left" w:pos="0"/>
        </w:tabs>
        <w:spacing w:after="0" w:line="240" w:lineRule="auto"/>
        <w:jc w:val="both"/>
        <w:rPr>
          <w:rFonts w:cstheme="minorHAnsi"/>
          <w:b/>
        </w:rPr>
      </w:pPr>
    </w:p>
    <w:p w14:paraId="60AE5C02" w14:textId="33F2A1CC" w:rsidR="00CB083D" w:rsidRPr="00394784" w:rsidRDefault="008C5091" w:rsidP="00CB083D">
      <w:pPr>
        <w:pStyle w:val="Paragraphedeliste"/>
        <w:numPr>
          <w:ilvl w:val="0"/>
          <w:numId w:val="35"/>
        </w:numPr>
        <w:tabs>
          <w:tab w:val="left" w:pos="0"/>
        </w:tabs>
        <w:spacing w:after="0" w:line="240" w:lineRule="auto"/>
        <w:jc w:val="both"/>
        <w:rPr>
          <w:rFonts w:cstheme="minorHAnsi"/>
          <w:b/>
        </w:rPr>
      </w:pPr>
      <w:r>
        <w:rPr>
          <w:rFonts w:cstheme="minorHAnsi"/>
          <w:b/>
        </w:rPr>
        <w:t>Soit ê</w:t>
      </w:r>
      <w:r w:rsidR="00CB083D" w:rsidRPr="00394784">
        <w:rPr>
          <w:rFonts w:cstheme="minorHAnsi"/>
          <w:b/>
        </w:rPr>
        <w:t>tre un centre technique</w:t>
      </w:r>
      <w:r>
        <w:rPr>
          <w:rFonts w:cstheme="minorHAnsi"/>
          <w:b/>
        </w:rPr>
        <w:t xml:space="preserve"> </w:t>
      </w:r>
      <w:r w:rsidR="00CB083D" w:rsidRPr="00394784">
        <w:rPr>
          <w:rFonts w:cstheme="minorHAnsi"/>
          <w:b/>
        </w:rPr>
        <w:t>:</w:t>
      </w:r>
    </w:p>
    <w:p w14:paraId="1C0CB08A"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rPr>
      </w:pPr>
      <w:r w:rsidRPr="00394784">
        <w:rPr>
          <w:rFonts w:cstheme="minorHAnsi"/>
        </w:rPr>
        <w:t>Synergie Mer et Littoral (SMEL),</w:t>
      </w:r>
    </w:p>
    <w:p w14:paraId="2DDD629E"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rPr>
      </w:pPr>
      <w:r w:rsidRPr="00394784">
        <w:rPr>
          <w:rFonts w:cstheme="minorHAnsi"/>
        </w:rPr>
        <w:t>Syndicat Mixte pour le Développement de l'Aquaculture et de la Pêche des Pays de Loire (SMIDAP),</w:t>
      </w:r>
    </w:p>
    <w:p w14:paraId="211D21FD"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rPr>
      </w:pPr>
      <w:r w:rsidRPr="00394784">
        <w:rPr>
          <w:rFonts w:cstheme="minorHAnsi"/>
        </w:rPr>
        <w:t xml:space="preserve">L’Association du </w:t>
      </w:r>
      <w:r>
        <w:rPr>
          <w:rFonts w:cstheme="minorHAnsi"/>
        </w:rPr>
        <w:t>Grand Littoral Atlantique (AGLIA</w:t>
      </w:r>
      <w:r w:rsidRPr="00394784">
        <w:rPr>
          <w:rFonts w:cstheme="minorHAnsi"/>
        </w:rPr>
        <w:t>),</w:t>
      </w:r>
    </w:p>
    <w:p w14:paraId="75ADB189"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iCs/>
        </w:rPr>
      </w:pPr>
      <w:r w:rsidRPr="00394784">
        <w:rPr>
          <w:rFonts w:cstheme="minorHAnsi"/>
          <w:iCs/>
        </w:rPr>
        <w:t xml:space="preserve">Le </w:t>
      </w:r>
      <w:r w:rsidRPr="008A4F80">
        <w:rPr>
          <w:rFonts w:cstheme="minorHAnsi"/>
          <w:iCs/>
        </w:rPr>
        <w:t xml:space="preserve">centre d’étude pour la promotion des activités lagunaires et maritimes </w:t>
      </w:r>
      <w:r>
        <w:rPr>
          <w:rFonts w:cstheme="minorHAnsi"/>
          <w:iCs/>
        </w:rPr>
        <w:t>(</w:t>
      </w:r>
      <w:r w:rsidRPr="00394784">
        <w:rPr>
          <w:rFonts w:cstheme="minorHAnsi"/>
          <w:iCs/>
        </w:rPr>
        <w:t>CEPRALMAR</w:t>
      </w:r>
      <w:r>
        <w:rPr>
          <w:rFonts w:cstheme="minorHAnsi"/>
          <w:iCs/>
        </w:rPr>
        <w:t>)</w:t>
      </w:r>
      <w:r w:rsidRPr="00394784">
        <w:rPr>
          <w:rFonts w:cstheme="minorHAnsi"/>
          <w:iCs/>
        </w:rPr>
        <w:t>,</w:t>
      </w:r>
    </w:p>
    <w:p w14:paraId="2380D1AD"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rPr>
      </w:pPr>
      <w:r w:rsidRPr="00394784">
        <w:rPr>
          <w:rFonts w:cstheme="minorHAnsi"/>
        </w:rPr>
        <w:t>La Cellule de Suivi du Littoral Normand (CSLN),</w:t>
      </w:r>
    </w:p>
    <w:p w14:paraId="1FF8ABE5"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iCs/>
        </w:rPr>
      </w:pPr>
      <w:r w:rsidRPr="00394784">
        <w:rPr>
          <w:rFonts w:cstheme="minorHAnsi"/>
          <w:iCs/>
        </w:rPr>
        <w:t>Le Groupe d’Etudes des Milieux Estuariens et Littoraux (GEMEL),</w:t>
      </w:r>
    </w:p>
    <w:p w14:paraId="21E74610"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rPr>
      </w:pPr>
      <w:r w:rsidRPr="00394784">
        <w:rPr>
          <w:rFonts w:cstheme="minorHAnsi"/>
          <w:iCs/>
        </w:rPr>
        <w:t>Le Centre pour l'Aquaculture, la Pêche et l'Environnement (CAPENA).</w:t>
      </w:r>
    </w:p>
    <w:p w14:paraId="40778D6F" w14:textId="77777777" w:rsidR="00CB083D" w:rsidRPr="00394784" w:rsidRDefault="00CB083D" w:rsidP="00CB083D">
      <w:pPr>
        <w:pStyle w:val="Paragraphedeliste"/>
        <w:numPr>
          <w:ilvl w:val="0"/>
          <w:numId w:val="40"/>
        </w:numPr>
        <w:tabs>
          <w:tab w:val="clear" w:pos="420"/>
        </w:tabs>
        <w:autoSpaceDE w:val="0"/>
        <w:autoSpaceDN w:val="0"/>
        <w:adjustRightInd w:val="0"/>
        <w:spacing w:after="0" w:line="240" w:lineRule="auto"/>
        <w:ind w:left="993"/>
        <w:jc w:val="both"/>
        <w:rPr>
          <w:rFonts w:cstheme="minorHAnsi"/>
        </w:rPr>
      </w:pPr>
      <w:r w:rsidRPr="00394784">
        <w:rPr>
          <w:rFonts w:cstheme="minorHAnsi"/>
          <w:iCs/>
        </w:rPr>
        <w:t>…..</w:t>
      </w:r>
    </w:p>
    <w:p w14:paraId="4579A8F3" w14:textId="77777777" w:rsidR="00CB083D" w:rsidRPr="00394784" w:rsidRDefault="00CB083D" w:rsidP="00CB083D">
      <w:pPr>
        <w:pStyle w:val="Sansinterligne"/>
        <w:jc w:val="both"/>
        <w:rPr>
          <w:rFonts w:cstheme="minorHAnsi"/>
          <w:iCs/>
          <w:shd w:val="clear" w:color="auto" w:fill="FFFFFF"/>
        </w:rPr>
      </w:pPr>
      <w:r w:rsidRPr="00394784">
        <w:rPr>
          <w:rFonts w:cstheme="minorHAnsi"/>
          <w:iCs/>
          <w:shd w:val="clear" w:color="auto" w:fill="FFFFFF"/>
        </w:rPr>
        <w:t>Ces critères, qui conduisent à l’établissement de la liste d’organismes techniques ou scientifiques présentée ci-dessous, pourront être complétés par l’autorité de gestion notamment par demande motivée du service instructeur.</w:t>
      </w:r>
    </w:p>
    <w:p w14:paraId="67535302" w14:textId="77777777" w:rsidR="00CB083D" w:rsidRPr="00394784" w:rsidRDefault="00CB083D" w:rsidP="00CB083D">
      <w:pPr>
        <w:pStyle w:val="Sansinterligne"/>
        <w:jc w:val="both"/>
        <w:rPr>
          <w:rFonts w:cstheme="minorHAnsi"/>
          <w:b/>
          <w:iCs/>
          <w:shd w:val="clear" w:color="auto" w:fill="FFFFFF"/>
        </w:rPr>
      </w:pPr>
    </w:p>
    <w:p w14:paraId="02A460AD" w14:textId="77777777" w:rsidR="00CB083D" w:rsidRPr="00394784" w:rsidRDefault="00CB083D" w:rsidP="00CB083D">
      <w:pPr>
        <w:pStyle w:val="Sansinterligne"/>
        <w:jc w:val="center"/>
        <w:rPr>
          <w:rFonts w:cstheme="minorHAnsi"/>
          <w:b/>
          <w:u w:val="single"/>
        </w:rPr>
      </w:pPr>
      <w:r w:rsidRPr="00394784">
        <w:rPr>
          <w:rFonts w:cstheme="minorHAnsi"/>
          <w:b/>
          <w:u w:val="single"/>
        </w:rPr>
        <w:t xml:space="preserve">Liste non exhaustive des organismes de recherche et instituts techniques :  </w:t>
      </w:r>
    </w:p>
    <w:p w14:paraId="771D845E" w14:textId="77777777" w:rsidR="00CB083D" w:rsidRPr="00394784" w:rsidRDefault="00CB083D" w:rsidP="00CB083D">
      <w:pPr>
        <w:pStyle w:val="Sansinterligne"/>
        <w:jc w:val="center"/>
        <w:rPr>
          <w:rFonts w:cstheme="minorHAnsi"/>
        </w:rPr>
      </w:pPr>
    </w:p>
    <w:p w14:paraId="426BFAD8" w14:textId="77777777" w:rsidR="00CB083D" w:rsidRPr="00394784" w:rsidRDefault="00CB083D" w:rsidP="00CB083D">
      <w:pPr>
        <w:pStyle w:val="Sansinterligne"/>
        <w:spacing w:line="276" w:lineRule="auto"/>
        <w:rPr>
          <w:rFonts w:cstheme="minorHAnsi"/>
          <w:b/>
        </w:rPr>
      </w:pPr>
      <w:r w:rsidRPr="00394784">
        <w:rPr>
          <w:rFonts w:cstheme="minorHAnsi"/>
          <w:b/>
        </w:rPr>
        <w:t>Organismes de recherche, établissement d’enseignement et de recherche :</w:t>
      </w:r>
    </w:p>
    <w:p w14:paraId="43830237" w14:textId="77777777" w:rsidR="00CB083D" w:rsidRPr="00394784" w:rsidRDefault="00CB083D" w:rsidP="00CB083D">
      <w:pPr>
        <w:pStyle w:val="Sansinterligne"/>
        <w:numPr>
          <w:ilvl w:val="0"/>
          <w:numId w:val="30"/>
        </w:numPr>
        <w:spacing w:line="276" w:lineRule="auto"/>
        <w:rPr>
          <w:rFonts w:cstheme="minorHAnsi"/>
        </w:rPr>
      </w:pPr>
      <w:r w:rsidRPr="00394784">
        <w:rPr>
          <w:rFonts w:cstheme="minorHAnsi"/>
          <w:b/>
        </w:rPr>
        <w:t>CIRAD</w:t>
      </w:r>
      <w:r w:rsidRPr="00394784">
        <w:rPr>
          <w:rFonts w:cstheme="minorHAnsi"/>
        </w:rPr>
        <w:t xml:space="preserve"> Centre de coopération internationale en recherche agronomique pour le développement (EPIC)</w:t>
      </w:r>
      <w:r>
        <w:rPr>
          <w:rFonts w:cstheme="minorHAnsi"/>
        </w:rPr>
        <w:t>,</w:t>
      </w:r>
    </w:p>
    <w:p w14:paraId="13F8D857" w14:textId="77777777" w:rsidR="00CB083D" w:rsidRPr="00394784" w:rsidRDefault="00CB083D" w:rsidP="00CB083D">
      <w:pPr>
        <w:pStyle w:val="Sansinterligne"/>
        <w:numPr>
          <w:ilvl w:val="0"/>
          <w:numId w:val="31"/>
        </w:numPr>
        <w:spacing w:line="276" w:lineRule="auto"/>
        <w:rPr>
          <w:rFonts w:cstheme="minorHAnsi"/>
        </w:rPr>
      </w:pPr>
      <w:r w:rsidRPr="00394784">
        <w:rPr>
          <w:rFonts w:cstheme="minorHAnsi"/>
          <w:b/>
        </w:rPr>
        <w:t>IFREMER</w:t>
      </w:r>
      <w:r w:rsidRPr="00394784">
        <w:rPr>
          <w:rFonts w:cstheme="minorHAnsi"/>
        </w:rPr>
        <w:t xml:space="preserve"> Institut français de recherche pour l'exploitation de la mer (EPIC)</w:t>
      </w:r>
      <w:r>
        <w:rPr>
          <w:rFonts w:cstheme="minorHAnsi"/>
        </w:rPr>
        <w:t>,</w:t>
      </w:r>
    </w:p>
    <w:p w14:paraId="4C904BB6" w14:textId="77777777" w:rsidR="00CB083D" w:rsidRPr="00394784" w:rsidRDefault="00CB083D" w:rsidP="00CB083D">
      <w:pPr>
        <w:pStyle w:val="Sansinterligne"/>
        <w:numPr>
          <w:ilvl w:val="0"/>
          <w:numId w:val="31"/>
        </w:numPr>
        <w:spacing w:line="276" w:lineRule="auto"/>
        <w:rPr>
          <w:rFonts w:cstheme="minorHAnsi"/>
        </w:rPr>
      </w:pPr>
      <w:r w:rsidRPr="00394784">
        <w:rPr>
          <w:rFonts w:cstheme="minorHAnsi"/>
          <w:b/>
        </w:rPr>
        <w:t>INRAE</w:t>
      </w:r>
      <w:r w:rsidRPr="00394784">
        <w:rPr>
          <w:rFonts w:cstheme="minorHAnsi"/>
        </w:rPr>
        <w:t xml:space="preserve"> Institut national de la recherche agronomique (établissement public à caractère scientifique et technologique EPST)</w:t>
      </w:r>
      <w:r>
        <w:rPr>
          <w:rFonts w:cstheme="minorHAnsi"/>
        </w:rPr>
        <w:t>,</w:t>
      </w:r>
    </w:p>
    <w:p w14:paraId="56B5513E" w14:textId="77777777" w:rsidR="00CB083D" w:rsidRPr="00394784" w:rsidRDefault="00CB083D" w:rsidP="00CB083D">
      <w:pPr>
        <w:pStyle w:val="Sansinterligne"/>
        <w:numPr>
          <w:ilvl w:val="0"/>
          <w:numId w:val="31"/>
        </w:numPr>
        <w:spacing w:line="276" w:lineRule="auto"/>
        <w:rPr>
          <w:rFonts w:cstheme="minorHAnsi"/>
        </w:rPr>
      </w:pPr>
      <w:r w:rsidRPr="00394784">
        <w:rPr>
          <w:rFonts w:cstheme="minorHAnsi"/>
          <w:b/>
          <w:lang w:eastAsia="fr-FR"/>
        </w:rPr>
        <w:t>Institut Pasteur</w:t>
      </w:r>
      <w:r>
        <w:rPr>
          <w:rFonts w:cstheme="minorHAnsi"/>
          <w:b/>
          <w:lang w:eastAsia="fr-FR"/>
        </w:rPr>
        <w:t>,</w:t>
      </w:r>
      <w:r w:rsidRPr="00394784">
        <w:rPr>
          <w:rFonts w:cstheme="minorHAnsi"/>
          <w:lang w:eastAsia="fr-FR"/>
        </w:rPr>
        <w:t xml:space="preserve"> </w:t>
      </w:r>
    </w:p>
    <w:p w14:paraId="04FAA659" w14:textId="77777777" w:rsidR="00CB083D" w:rsidRPr="00394784" w:rsidRDefault="00CB083D" w:rsidP="00CB083D">
      <w:pPr>
        <w:pStyle w:val="Sansinterligne"/>
        <w:numPr>
          <w:ilvl w:val="0"/>
          <w:numId w:val="31"/>
        </w:numPr>
        <w:spacing w:line="276" w:lineRule="auto"/>
        <w:rPr>
          <w:rFonts w:cstheme="minorHAnsi"/>
        </w:rPr>
      </w:pPr>
      <w:r w:rsidRPr="00394784">
        <w:rPr>
          <w:rFonts w:cstheme="minorHAnsi"/>
          <w:b/>
        </w:rPr>
        <w:t>I.R.D.</w:t>
      </w:r>
      <w:r w:rsidRPr="00394784">
        <w:rPr>
          <w:rFonts w:cstheme="minorHAnsi"/>
        </w:rPr>
        <w:t xml:space="preserve"> Institut de recherche pour le développement (ex-ORSTOM)</w:t>
      </w:r>
      <w:r w:rsidRPr="00394784">
        <w:rPr>
          <w:rFonts w:cstheme="minorHAnsi"/>
          <w:b/>
        </w:rPr>
        <w:t xml:space="preserve"> </w:t>
      </w:r>
      <w:r w:rsidRPr="00394784">
        <w:rPr>
          <w:rFonts w:cstheme="minorHAnsi"/>
        </w:rPr>
        <w:t>(établissement public à caractère scientifique et technologique EPST)</w:t>
      </w:r>
      <w:r>
        <w:rPr>
          <w:rFonts w:cstheme="minorHAnsi"/>
        </w:rPr>
        <w:t>,</w:t>
      </w:r>
    </w:p>
    <w:p w14:paraId="1ECC4A40" w14:textId="77777777" w:rsidR="00CB083D" w:rsidRPr="00394784" w:rsidRDefault="00CB083D" w:rsidP="00CB083D">
      <w:pPr>
        <w:pStyle w:val="Sansinterligne"/>
        <w:numPr>
          <w:ilvl w:val="0"/>
          <w:numId w:val="31"/>
        </w:numPr>
        <w:spacing w:line="276" w:lineRule="auto"/>
        <w:rPr>
          <w:rFonts w:cstheme="minorHAnsi"/>
        </w:rPr>
      </w:pPr>
      <w:r w:rsidRPr="00394784">
        <w:rPr>
          <w:rFonts w:cstheme="minorHAnsi"/>
          <w:b/>
        </w:rPr>
        <w:t>IRSTEA</w:t>
      </w:r>
      <w:r w:rsidRPr="00394784">
        <w:rPr>
          <w:rFonts w:cstheme="minorHAnsi"/>
        </w:rPr>
        <w:t xml:space="preserve"> Institut de recherche pour l'ingénierie de l'agriculture et de l'environnement (établissement public à caractère scientifique et technologique EPST)</w:t>
      </w:r>
      <w:r>
        <w:rPr>
          <w:rFonts w:cstheme="minorHAnsi"/>
        </w:rPr>
        <w:t>,</w:t>
      </w:r>
    </w:p>
    <w:p w14:paraId="1E492948" w14:textId="77777777" w:rsidR="00CB083D" w:rsidRPr="00394784" w:rsidRDefault="00CB083D" w:rsidP="00CB083D">
      <w:pPr>
        <w:pStyle w:val="Sansinterligne"/>
        <w:numPr>
          <w:ilvl w:val="0"/>
          <w:numId w:val="31"/>
        </w:numPr>
        <w:spacing w:line="276" w:lineRule="auto"/>
        <w:rPr>
          <w:rFonts w:cstheme="minorHAnsi"/>
          <w:b/>
        </w:rPr>
      </w:pPr>
      <w:r w:rsidRPr="00394784">
        <w:rPr>
          <w:rFonts w:cstheme="minorHAnsi"/>
          <w:b/>
        </w:rPr>
        <w:t>M.N.H.N</w:t>
      </w:r>
      <w:r w:rsidRPr="00394784">
        <w:rPr>
          <w:rFonts w:cstheme="minorHAnsi"/>
        </w:rPr>
        <w:t xml:space="preserve"> Muséum national d'histoire naturelle (établissement public à caractère culturel, scientifique et professionnel)</w:t>
      </w:r>
      <w:r>
        <w:rPr>
          <w:rFonts w:cstheme="minorHAnsi"/>
        </w:rPr>
        <w:t>,</w:t>
      </w:r>
    </w:p>
    <w:p w14:paraId="77C17330" w14:textId="77777777" w:rsidR="00CB083D" w:rsidRPr="00394784" w:rsidRDefault="00CB083D" w:rsidP="00CB083D">
      <w:pPr>
        <w:pStyle w:val="Sansinterligne"/>
        <w:numPr>
          <w:ilvl w:val="0"/>
          <w:numId w:val="31"/>
        </w:numPr>
        <w:spacing w:line="276" w:lineRule="auto"/>
        <w:rPr>
          <w:rFonts w:cstheme="minorHAnsi"/>
        </w:rPr>
      </w:pPr>
      <w:r>
        <w:rPr>
          <w:rFonts w:cstheme="minorHAnsi"/>
          <w:b/>
        </w:rPr>
        <w:t>Institut agro Rennes Angers</w:t>
      </w:r>
      <w:r w:rsidRPr="00394784">
        <w:rPr>
          <w:rFonts w:cstheme="minorHAnsi"/>
        </w:rPr>
        <w:t xml:space="preserve"> (établissement public à caractère culturel, scientifique et professionnel)</w:t>
      </w:r>
    </w:p>
    <w:p w14:paraId="536CF5F1" w14:textId="77777777" w:rsidR="00CB083D" w:rsidRPr="00394784" w:rsidRDefault="00CB083D" w:rsidP="00CB083D">
      <w:pPr>
        <w:pStyle w:val="Sansinterligne"/>
        <w:numPr>
          <w:ilvl w:val="0"/>
          <w:numId w:val="31"/>
        </w:numPr>
        <w:spacing w:line="276" w:lineRule="auto"/>
        <w:rPr>
          <w:rStyle w:val="lev"/>
          <w:rFonts w:cstheme="minorHAnsi"/>
        </w:rPr>
      </w:pPr>
      <w:r w:rsidRPr="00394784">
        <w:rPr>
          <w:rFonts w:cstheme="minorHAnsi"/>
          <w:b/>
        </w:rPr>
        <w:t>ANSES Agence</w:t>
      </w:r>
      <w:r w:rsidRPr="00394784">
        <w:rPr>
          <w:rFonts w:cstheme="minorHAnsi"/>
          <w:bCs/>
        </w:rPr>
        <w:t xml:space="preserve"> nationale de sécurité sanitaire de l’alimentation, de l’environnement et du travail (</w:t>
      </w:r>
      <w:r w:rsidRPr="00394784">
        <w:rPr>
          <w:rStyle w:val="lev"/>
          <w:rFonts w:cstheme="minorHAnsi"/>
        </w:rPr>
        <w:t>Etablissement public à caractère administratif)</w:t>
      </w:r>
      <w:r>
        <w:rPr>
          <w:rStyle w:val="lev"/>
          <w:rFonts w:cstheme="minorHAnsi"/>
        </w:rPr>
        <w:t>,</w:t>
      </w:r>
    </w:p>
    <w:p w14:paraId="162401FC" w14:textId="77777777" w:rsidR="00CB083D" w:rsidRPr="00394784" w:rsidRDefault="00CB083D" w:rsidP="00CB083D">
      <w:pPr>
        <w:pStyle w:val="Sansinterligne"/>
        <w:numPr>
          <w:ilvl w:val="0"/>
          <w:numId w:val="31"/>
        </w:numPr>
        <w:spacing w:line="276" w:lineRule="auto"/>
        <w:rPr>
          <w:rFonts w:cstheme="minorHAnsi"/>
        </w:rPr>
      </w:pPr>
      <w:r w:rsidRPr="00394784">
        <w:rPr>
          <w:rFonts w:cstheme="minorHAnsi"/>
          <w:b/>
        </w:rPr>
        <w:t xml:space="preserve">CNRS </w:t>
      </w:r>
      <w:r w:rsidRPr="00394784">
        <w:rPr>
          <w:rFonts w:cstheme="minorHAnsi"/>
        </w:rPr>
        <w:t>Centre national de la recherche scientifique (établissement public à caractère scientifique et technologique EPST)</w:t>
      </w:r>
      <w:r>
        <w:rPr>
          <w:rFonts w:cstheme="minorHAnsi"/>
        </w:rPr>
        <w:t>,</w:t>
      </w:r>
    </w:p>
    <w:p w14:paraId="7E6CD571" w14:textId="77777777" w:rsidR="00CB083D" w:rsidRPr="00394784" w:rsidRDefault="00CB083D" w:rsidP="00CB083D">
      <w:pPr>
        <w:pStyle w:val="Sansinterligne"/>
        <w:numPr>
          <w:ilvl w:val="0"/>
          <w:numId w:val="31"/>
        </w:numPr>
        <w:spacing w:line="276" w:lineRule="auto"/>
        <w:rPr>
          <w:rStyle w:val="lev"/>
          <w:rFonts w:cstheme="minorHAnsi"/>
        </w:rPr>
      </w:pPr>
      <w:r w:rsidRPr="00394784">
        <w:rPr>
          <w:rFonts w:cstheme="minorHAnsi"/>
          <w:b/>
        </w:rPr>
        <w:t xml:space="preserve">CEREMA </w:t>
      </w:r>
      <w:r w:rsidRPr="00394784">
        <w:rPr>
          <w:rFonts w:cstheme="minorHAnsi"/>
        </w:rPr>
        <w:t>centre d’étude et d’expertise sur les risques, l’environnement la mobilité et l’aménagement</w:t>
      </w:r>
      <w:r w:rsidRPr="00394784">
        <w:rPr>
          <w:rFonts w:cstheme="minorHAnsi"/>
          <w:b/>
        </w:rPr>
        <w:t xml:space="preserve"> </w:t>
      </w:r>
      <w:r w:rsidRPr="00394784">
        <w:rPr>
          <w:rFonts w:cstheme="minorHAnsi"/>
          <w:bCs/>
        </w:rPr>
        <w:t>(</w:t>
      </w:r>
      <w:r w:rsidRPr="00394784">
        <w:rPr>
          <w:rStyle w:val="lev"/>
          <w:rFonts w:cstheme="minorHAnsi"/>
        </w:rPr>
        <w:t>Etablissement public à caractère administratif)</w:t>
      </w:r>
      <w:r>
        <w:rPr>
          <w:rStyle w:val="lev"/>
          <w:rFonts w:cstheme="minorHAnsi"/>
        </w:rPr>
        <w:t>,</w:t>
      </w:r>
    </w:p>
    <w:p w14:paraId="30455965" w14:textId="77777777" w:rsidR="00CB083D" w:rsidRPr="00394784" w:rsidRDefault="00CB083D" w:rsidP="00CB083D">
      <w:pPr>
        <w:pStyle w:val="Paragraphedeliste"/>
        <w:numPr>
          <w:ilvl w:val="0"/>
          <w:numId w:val="31"/>
        </w:numPr>
        <w:spacing w:after="0" w:line="276" w:lineRule="auto"/>
        <w:jc w:val="both"/>
        <w:rPr>
          <w:rFonts w:cstheme="minorHAnsi"/>
          <w:b/>
        </w:rPr>
      </w:pPr>
      <w:r w:rsidRPr="00394784">
        <w:rPr>
          <w:rFonts w:cstheme="minorHAnsi"/>
          <w:b/>
        </w:rPr>
        <w:lastRenderedPageBreak/>
        <w:t xml:space="preserve"> Les Etablissements publics à caractère scientifique, culturel et professionnel (universités, grands établissements, écoles normales supérieures, écoles d’ingénieur) recensés sur le site du MENESR :</w:t>
      </w:r>
    </w:p>
    <w:p w14:paraId="6F834F94" w14:textId="77777777" w:rsidR="00CB083D" w:rsidRPr="00394784" w:rsidRDefault="00000000" w:rsidP="00CB083D">
      <w:pPr>
        <w:pStyle w:val="Sansinterligne"/>
        <w:spacing w:line="276" w:lineRule="auto"/>
        <w:ind w:left="720"/>
        <w:rPr>
          <w:rStyle w:val="Lienhypertexte"/>
          <w:rFonts w:eastAsiaTheme="majorEastAsia" w:cstheme="minorHAnsi"/>
        </w:rPr>
      </w:pPr>
      <w:hyperlink r:id="rId15" w:history="1">
        <w:r w:rsidR="00CB083D" w:rsidRPr="00394784">
          <w:rPr>
            <w:rStyle w:val="Lienhypertexte"/>
            <w:rFonts w:eastAsiaTheme="majorEastAsia" w:cstheme="minorHAnsi"/>
          </w:rPr>
          <w:t>http://www.enseignementsup-recherche.gouv.fr/cid49705/etablissements-enseignement-superieur-recherche.html</w:t>
        </w:r>
      </w:hyperlink>
    </w:p>
    <w:p w14:paraId="1B90E371" w14:textId="77777777" w:rsidR="00CB083D" w:rsidRPr="00394784" w:rsidRDefault="00CB083D" w:rsidP="00CB083D">
      <w:pPr>
        <w:pStyle w:val="Sansinterligne"/>
        <w:numPr>
          <w:ilvl w:val="0"/>
          <w:numId w:val="31"/>
        </w:numPr>
        <w:spacing w:line="276" w:lineRule="auto"/>
        <w:rPr>
          <w:rFonts w:cstheme="minorHAnsi"/>
          <w:b/>
          <w:bCs/>
        </w:rPr>
      </w:pPr>
      <w:r w:rsidRPr="00394784">
        <w:rPr>
          <w:rFonts w:cstheme="minorHAnsi"/>
          <w:b/>
          <w:bCs/>
        </w:rPr>
        <w:t>……</w:t>
      </w:r>
    </w:p>
    <w:p w14:paraId="20723780" w14:textId="77777777" w:rsidR="00CB083D" w:rsidRPr="00394784" w:rsidRDefault="00CB083D" w:rsidP="00CB083D">
      <w:pPr>
        <w:pStyle w:val="Sansinterligne"/>
        <w:spacing w:line="276" w:lineRule="auto"/>
        <w:rPr>
          <w:rFonts w:cstheme="minorHAnsi"/>
        </w:rPr>
      </w:pPr>
    </w:p>
    <w:p w14:paraId="58C7EDFC" w14:textId="77777777" w:rsidR="00CB083D" w:rsidRPr="00394784" w:rsidRDefault="00CB083D" w:rsidP="00CB083D">
      <w:pPr>
        <w:pStyle w:val="Sansinterligne"/>
        <w:spacing w:line="276" w:lineRule="auto"/>
        <w:rPr>
          <w:rFonts w:cstheme="minorHAnsi"/>
          <w:b/>
        </w:rPr>
      </w:pPr>
      <w:r w:rsidRPr="00394784">
        <w:rPr>
          <w:rFonts w:cstheme="minorHAnsi"/>
          <w:b/>
        </w:rPr>
        <w:t>Instituts techniques :</w:t>
      </w:r>
    </w:p>
    <w:p w14:paraId="0901B724"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ITAVI</w:t>
      </w:r>
      <w:r w:rsidRPr="00394784">
        <w:rPr>
          <w:rFonts w:cstheme="minorHAnsi"/>
        </w:rPr>
        <w:t xml:space="preserve"> institut technique de l’aviculture (qualification institut technique agricole, ITA)</w:t>
      </w:r>
      <w:r>
        <w:rPr>
          <w:rFonts w:cstheme="minorHAnsi"/>
        </w:rPr>
        <w:t>,</w:t>
      </w:r>
    </w:p>
    <w:p w14:paraId="21DB8458"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 xml:space="preserve">SYSAAF </w:t>
      </w:r>
      <w:r w:rsidRPr="00394784">
        <w:rPr>
          <w:rFonts w:cstheme="minorHAnsi"/>
        </w:rPr>
        <w:t>syndicat des sélectionneurs avicoles aquacoles français (par délégation des missions de gestion des ressources génétiques de l’ITAVI)</w:t>
      </w:r>
      <w:r>
        <w:rPr>
          <w:rFonts w:cstheme="minorHAnsi"/>
        </w:rPr>
        <w:t>,</w:t>
      </w:r>
    </w:p>
    <w:p w14:paraId="7D70FA82"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ITAB</w:t>
      </w:r>
      <w:r w:rsidRPr="00394784">
        <w:rPr>
          <w:rFonts w:cstheme="minorHAnsi"/>
        </w:rPr>
        <w:t xml:space="preserve"> Institut technique agriculture biologique (qualification institut technique agricole, ITA)</w:t>
      </w:r>
      <w:r>
        <w:rPr>
          <w:rFonts w:cstheme="minorHAnsi"/>
        </w:rPr>
        <w:t>,</w:t>
      </w:r>
    </w:p>
    <w:p w14:paraId="7247458F"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SMEL</w:t>
      </w:r>
      <w:r>
        <w:rPr>
          <w:rFonts w:cstheme="minorHAnsi"/>
        </w:rPr>
        <w:t xml:space="preserve"> synergie mer et littoral,</w:t>
      </w:r>
    </w:p>
    <w:p w14:paraId="3344745D"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 xml:space="preserve">SMIDAP </w:t>
      </w:r>
      <w:r w:rsidRPr="00394784">
        <w:rPr>
          <w:rFonts w:cstheme="minorHAnsi"/>
        </w:rPr>
        <w:t xml:space="preserve">syndicat mixte pour le développement </w:t>
      </w:r>
      <w:r>
        <w:rPr>
          <w:rFonts w:cstheme="minorHAnsi"/>
        </w:rPr>
        <w:t>de l’aquaculture et de la pêche,</w:t>
      </w:r>
    </w:p>
    <w:p w14:paraId="6430DF89"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CAPENA</w:t>
      </w:r>
      <w:r>
        <w:rPr>
          <w:rFonts w:cstheme="minorHAnsi"/>
          <w:b/>
        </w:rPr>
        <w:t xml:space="preserve"> </w:t>
      </w:r>
      <w:r>
        <w:rPr>
          <w:rFonts w:cstheme="minorHAnsi"/>
        </w:rPr>
        <w:t>centre pour l'a</w:t>
      </w:r>
      <w:r w:rsidRPr="00A2572C">
        <w:rPr>
          <w:rFonts w:cstheme="minorHAnsi"/>
        </w:rPr>
        <w:t xml:space="preserve">quaculture, la </w:t>
      </w:r>
      <w:r>
        <w:rPr>
          <w:rFonts w:cstheme="minorHAnsi"/>
        </w:rPr>
        <w:t xml:space="preserve">pêche et l'environnement de </w:t>
      </w:r>
      <w:proofErr w:type="spellStart"/>
      <w:r>
        <w:rPr>
          <w:rFonts w:cstheme="minorHAnsi"/>
        </w:rPr>
        <w:t>nouvelle-a</w:t>
      </w:r>
      <w:r w:rsidRPr="00A2572C">
        <w:rPr>
          <w:rFonts w:cstheme="minorHAnsi"/>
        </w:rPr>
        <w:t>quitaine</w:t>
      </w:r>
      <w:proofErr w:type="spellEnd"/>
      <w:r>
        <w:rPr>
          <w:rFonts w:cstheme="minorHAnsi"/>
        </w:rPr>
        <w:t>,</w:t>
      </w:r>
    </w:p>
    <w:p w14:paraId="41FC7D1C"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CEPRALMAR</w:t>
      </w:r>
      <w:r w:rsidRPr="00394784">
        <w:rPr>
          <w:rFonts w:cstheme="minorHAnsi"/>
        </w:rPr>
        <w:t xml:space="preserve"> centre d’étude et de promotion des activités lagunaires et maritimes</w:t>
      </w:r>
      <w:r>
        <w:rPr>
          <w:rFonts w:cstheme="minorHAnsi"/>
        </w:rPr>
        <w:t>,</w:t>
      </w:r>
      <w:r w:rsidRPr="00394784">
        <w:rPr>
          <w:rFonts w:cstheme="minorHAnsi"/>
        </w:rPr>
        <w:t xml:space="preserve"> </w:t>
      </w:r>
    </w:p>
    <w:p w14:paraId="0E587C0F" w14:textId="77777777" w:rsidR="00CB083D" w:rsidRPr="00394784" w:rsidRDefault="00CB083D" w:rsidP="00CB083D">
      <w:pPr>
        <w:pStyle w:val="Sansinterligne"/>
        <w:numPr>
          <w:ilvl w:val="0"/>
          <w:numId w:val="32"/>
        </w:numPr>
        <w:spacing w:line="276" w:lineRule="auto"/>
        <w:rPr>
          <w:rFonts w:cstheme="minorHAnsi"/>
        </w:rPr>
      </w:pPr>
      <w:r w:rsidRPr="00394784">
        <w:rPr>
          <w:rFonts w:cstheme="minorHAnsi"/>
          <w:b/>
        </w:rPr>
        <w:t>CEVA</w:t>
      </w:r>
      <w:r w:rsidRPr="00394784">
        <w:rPr>
          <w:rFonts w:cstheme="minorHAnsi"/>
        </w:rPr>
        <w:t xml:space="preserve"> Centre d’étude et de valorisation des algues (institut technique agro industriel ITAI)</w:t>
      </w:r>
      <w:r>
        <w:rPr>
          <w:rFonts w:cstheme="minorHAnsi"/>
        </w:rPr>
        <w:t>,</w:t>
      </w:r>
    </w:p>
    <w:p w14:paraId="739BF99A" w14:textId="77777777" w:rsidR="00CB083D" w:rsidRDefault="00CB083D" w:rsidP="00CB083D">
      <w:pPr>
        <w:pStyle w:val="Paragraphedeliste"/>
        <w:numPr>
          <w:ilvl w:val="0"/>
          <w:numId w:val="32"/>
        </w:numPr>
        <w:autoSpaceDE w:val="0"/>
        <w:autoSpaceDN w:val="0"/>
        <w:adjustRightInd w:val="0"/>
        <w:spacing w:after="0" w:line="276" w:lineRule="auto"/>
        <w:jc w:val="both"/>
        <w:rPr>
          <w:rFonts w:cstheme="minorHAnsi"/>
        </w:rPr>
      </w:pPr>
      <w:r w:rsidRPr="00394784">
        <w:rPr>
          <w:rFonts w:cstheme="minorHAnsi"/>
          <w:b/>
        </w:rPr>
        <w:t>AGLIA</w:t>
      </w:r>
      <w:r w:rsidRPr="00394784">
        <w:rPr>
          <w:rFonts w:cstheme="minorHAnsi"/>
        </w:rPr>
        <w:t xml:space="preserve"> Association du Grand Littoral Atlantique</w:t>
      </w:r>
      <w:r>
        <w:rPr>
          <w:rFonts w:cstheme="minorHAnsi"/>
        </w:rPr>
        <w:t>,</w:t>
      </w:r>
    </w:p>
    <w:p w14:paraId="3BD9E80A" w14:textId="1540CAEA" w:rsidR="008C5091" w:rsidRPr="00394784" w:rsidRDefault="008C5091" w:rsidP="00CB083D">
      <w:pPr>
        <w:pStyle w:val="Paragraphedeliste"/>
        <w:numPr>
          <w:ilvl w:val="0"/>
          <w:numId w:val="32"/>
        </w:numPr>
        <w:autoSpaceDE w:val="0"/>
        <w:autoSpaceDN w:val="0"/>
        <w:adjustRightInd w:val="0"/>
        <w:spacing w:after="0" w:line="276" w:lineRule="auto"/>
        <w:jc w:val="both"/>
        <w:rPr>
          <w:rFonts w:cstheme="minorHAnsi"/>
        </w:rPr>
      </w:pPr>
      <w:r>
        <w:rPr>
          <w:rFonts w:cstheme="minorHAnsi"/>
          <w:b/>
        </w:rPr>
        <w:t>........</w:t>
      </w:r>
    </w:p>
    <w:p w14:paraId="7630E78C" w14:textId="77777777" w:rsidR="008C5091" w:rsidRPr="008C5091" w:rsidRDefault="008C5091" w:rsidP="008C5091">
      <w:pPr>
        <w:autoSpaceDE w:val="0"/>
        <w:autoSpaceDN w:val="0"/>
        <w:adjustRightInd w:val="0"/>
        <w:spacing w:after="0" w:line="276" w:lineRule="auto"/>
        <w:jc w:val="both"/>
        <w:rPr>
          <w:rFonts w:cstheme="minorHAnsi"/>
          <w:b/>
          <w:bCs/>
          <w:u w:val="single"/>
        </w:rPr>
      </w:pPr>
      <w:bookmarkStart w:id="25" w:name="_Toc104376133"/>
      <w:bookmarkStart w:id="26" w:name="_Toc135040519"/>
    </w:p>
    <w:p w14:paraId="618F2438" w14:textId="77777777" w:rsidR="008C5091" w:rsidRDefault="008C5091" w:rsidP="008C5091">
      <w:pPr>
        <w:pStyle w:val="Paragraphedeliste"/>
        <w:autoSpaceDE w:val="0"/>
        <w:autoSpaceDN w:val="0"/>
        <w:adjustRightInd w:val="0"/>
        <w:spacing w:after="0" w:line="276" w:lineRule="auto"/>
        <w:jc w:val="both"/>
        <w:rPr>
          <w:rFonts w:cstheme="minorHAnsi"/>
          <w:b/>
          <w:bCs/>
          <w:u w:val="single"/>
        </w:rPr>
      </w:pPr>
    </w:p>
    <w:bookmarkEnd w:id="25"/>
    <w:bookmarkEnd w:id="26"/>
    <w:p w14:paraId="40648A40" w14:textId="1F2CE3AA" w:rsidR="00CB083D" w:rsidRDefault="00CB083D" w:rsidP="00545B87">
      <w:pPr>
        <w:rPr>
          <w:rFonts w:cstheme="minorHAnsi"/>
          <w:b/>
        </w:rPr>
      </w:pPr>
    </w:p>
    <w:p w14:paraId="121AFF92" w14:textId="77777777" w:rsidR="00401547" w:rsidRDefault="00401547" w:rsidP="00545B87">
      <w:pPr>
        <w:rPr>
          <w:rFonts w:cstheme="minorHAnsi"/>
          <w:b/>
        </w:rPr>
      </w:pPr>
    </w:p>
    <w:p w14:paraId="7FB8D924" w14:textId="77777777" w:rsidR="00401547" w:rsidRDefault="00401547" w:rsidP="00545B87">
      <w:pPr>
        <w:rPr>
          <w:rFonts w:cstheme="minorHAnsi"/>
          <w:b/>
        </w:rPr>
      </w:pPr>
    </w:p>
    <w:p w14:paraId="50A1DA75" w14:textId="77777777" w:rsidR="00401547" w:rsidRDefault="00401547" w:rsidP="00545B87">
      <w:pPr>
        <w:rPr>
          <w:rFonts w:cstheme="minorHAnsi"/>
          <w:b/>
        </w:rPr>
      </w:pPr>
    </w:p>
    <w:p w14:paraId="6A6B0900" w14:textId="77777777" w:rsidR="00401547" w:rsidRDefault="00401547" w:rsidP="00545B87">
      <w:pPr>
        <w:rPr>
          <w:rFonts w:cstheme="minorHAnsi"/>
          <w:b/>
        </w:rPr>
      </w:pPr>
    </w:p>
    <w:p w14:paraId="263ABC0D" w14:textId="77777777" w:rsidR="00401547" w:rsidRDefault="00401547" w:rsidP="00545B87">
      <w:pPr>
        <w:rPr>
          <w:rFonts w:cstheme="minorHAnsi"/>
          <w:b/>
        </w:rPr>
      </w:pPr>
    </w:p>
    <w:p w14:paraId="41111EE8" w14:textId="77777777" w:rsidR="00401547" w:rsidRDefault="00401547" w:rsidP="00545B87">
      <w:pPr>
        <w:rPr>
          <w:rFonts w:cstheme="minorHAnsi"/>
          <w:b/>
        </w:rPr>
      </w:pPr>
    </w:p>
    <w:p w14:paraId="27E9F0A0" w14:textId="77777777" w:rsidR="00401547" w:rsidRDefault="00401547" w:rsidP="00545B87">
      <w:pPr>
        <w:rPr>
          <w:rFonts w:cstheme="minorHAnsi"/>
          <w:b/>
        </w:rPr>
      </w:pPr>
    </w:p>
    <w:p w14:paraId="0A1E3F4A" w14:textId="77777777" w:rsidR="00401547" w:rsidRPr="00BF23D0" w:rsidRDefault="00401547" w:rsidP="00545B87">
      <w:pPr>
        <w:rPr>
          <w:rFonts w:cstheme="minorHAnsi"/>
          <w:b/>
        </w:rPr>
      </w:pPr>
    </w:p>
    <w:p w14:paraId="1826B2B3" w14:textId="1FA22A83" w:rsidR="00CB083D" w:rsidRDefault="00CB083D" w:rsidP="00545B87">
      <w:pPr>
        <w:rPr>
          <w:b/>
        </w:rPr>
      </w:pPr>
    </w:p>
    <w:p w14:paraId="639925B7" w14:textId="77777777" w:rsidR="00AD61F4" w:rsidRDefault="00AD61F4" w:rsidP="00545B87">
      <w:pPr>
        <w:rPr>
          <w:b/>
        </w:rPr>
      </w:pPr>
    </w:p>
    <w:p w14:paraId="5703F966" w14:textId="77777777" w:rsidR="00AD61F4" w:rsidRDefault="00AD61F4" w:rsidP="00545B87">
      <w:pPr>
        <w:rPr>
          <w:b/>
        </w:rPr>
      </w:pPr>
    </w:p>
    <w:p w14:paraId="2C3E3D25" w14:textId="77777777" w:rsidR="00AD61F4" w:rsidRDefault="00AD61F4" w:rsidP="00545B87">
      <w:pPr>
        <w:rPr>
          <w:b/>
        </w:rPr>
      </w:pPr>
    </w:p>
    <w:p w14:paraId="5D945E5F" w14:textId="77777777" w:rsidR="00AD61F4" w:rsidRDefault="00AD61F4" w:rsidP="00545B87">
      <w:pPr>
        <w:rPr>
          <w:b/>
        </w:rPr>
      </w:pPr>
    </w:p>
    <w:p w14:paraId="2071DF57" w14:textId="77777777" w:rsidR="00AD61F4" w:rsidRDefault="00AD61F4" w:rsidP="00545B87">
      <w:pPr>
        <w:rPr>
          <w:b/>
        </w:rPr>
      </w:pPr>
    </w:p>
    <w:p w14:paraId="2B45A0E2" w14:textId="2939C7E8" w:rsidR="00CB083D" w:rsidRDefault="00CB083D" w:rsidP="00545B87">
      <w:pPr>
        <w:rPr>
          <w:b/>
        </w:rPr>
      </w:pPr>
    </w:p>
    <w:p w14:paraId="28B6E5E6" w14:textId="0B9E8180" w:rsidR="00CB083D" w:rsidRDefault="00CB083D" w:rsidP="00545B87">
      <w:pPr>
        <w:rPr>
          <w:b/>
        </w:rPr>
      </w:pPr>
    </w:p>
    <w:p w14:paraId="5ADAAFEA" w14:textId="129B887D" w:rsidR="00CB083D" w:rsidRDefault="00CB083D" w:rsidP="00545B87">
      <w:pPr>
        <w:rPr>
          <w:b/>
        </w:rPr>
      </w:pPr>
    </w:p>
    <w:p w14:paraId="67B7B5B4" w14:textId="0DC2B221" w:rsidR="00CB083D" w:rsidRDefault="00CB083D" w:rsidP="00545B87">
      <w:pPr>
        <w:rPr>
          <w:b/>
        </w:rPr>
      </w:pPr>
    </w:p>
    <w:p w14:paraId="731E836C" w14:textId="0706CEA3" w:rsidR="00B33CA1" w:rsidRDefault="00BF23D0" w:rsidP="00B33CA1">
      <w:pPr>
        <w:spacing w:before="40" w:after="0"/>
        <w:ind w:left="284"/>
        <w:jc w:val="center"/>
        <w:outlineLvl w:val="1"/>
        <w:rPr>
          <w:rFonts w:ascii="Trebuchet MS" w:hAnsi="Trebuchet MS"/>
          <w:u w:val="single"/>
        </w:rPr>
      </w:pPr>
      <w:r w:rsidRPr="008C5091">
        <w:rPr>
          <w:rFonts w:cstheme="minorHAnsi"/>
          <w:b/>
          <w:bCs/>
          <w:u w:val="single"/>
        </w:rPr>
        <w:lastRenderedPageBreak/>
        <w:t xml:space="preserve">Annexe </w:t>
      </w:r>
      <w:r w:rsidR="00A62612">
        <w:rPr>
          <w:rFonts w:cstheme="minorHAnsi"/>
          <w:b/>
          <w:bCs/>
          <w:u w:val="single"/>
        </w:rPr>
        <w:t>4</w:t>
      </w:r>
      <w:r w:rsidRPr="008C5091">
        <w:rPr>
          <w:rFonts w:cstheme="minorHAnsi"/>
          <w:b/>
          <w:bCs/>
          <w:u w:val="single"/>
        </w:rPr>
        <w:t> – Grille de sélection</w:t>
      </w:r>
      <w:r>
        <w:rPr>
          <w:rFonts w:ascii="Trebuchet MS" w:hAnsi="Trebuchet MS"/>
          <w:u w:val="single"/>
        </w:rPr>
        <w:t xml:space="preserve"> </w:t>
      </w:r>
    </w:p>
    <w:p w14:paraId="703DE9C8" w14:textId="77777777" w:rsidR="00B33CA1" w:rsidRDefault="00B33CA1" w:rsidP="00B33CA1">
      <w:pPr>
        <w:spacing w:before="40" w:after="0"/>
        <w:ind w:left="284"/>
        <w:jc w:val="center"/>
        <w:outlineLvl w:val="1"/>
        <w:rPr>
          <w:rFonts w:ascii="Trebuchet MS" w:hAnsi="Trebuchet MS"/>
          <w:u w:val="single"/>
        </w:rPr>
      </w:pPr>
    </w:p>
    <w:p w14:paraId="3B88143E" w14:textId="2D32060A" w:rsidR="00CB083D" w:rsidRDefault="0072118C" w:rsidP="00B33CA1">
      <w:pPr>
        <w:spacing w:before="40" w:after="0"/>
        <w:ind w:left="284"/>
        <w:jc w:val="center"/>
        <w:outlineLvl w:val="1"/>
        <w:rPr>
          <w:b/>
        </w:rPr>
      </w:pPr>
      <w:r>
        <w:rPr>
          <w:b/>
          <w:noProof/>
        </w:rPr>
        <w:drawing>
          <wp:inline distT="0" distB="0" distL="0" distR="0" wp14:anchorId="63582004" wp14:editId="023D2BCF">
            <wp:extent cx="6414654" cy="8506460"/>
            <wp:effectExtent l="0" t="0" r="571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96075" cy="8614432"/>
                    </a:xfrm>
                    <a:prstGeom prst="rect">
                      <a:avLst/>
                    </a:prstGeom>
                    <a:noFill/>
                  </pic:spPr>
                </pic:pic>
              </a:graphicData>
            </a:graphic>
          </wp:inline>
        </w:drawing>
      </w:r>
    </w:p>
    <w:p w14:paraId="3739A1CA" w14:textId="77777777" w:rsidR="00B33CA1" w:rsidRDefault="00B33CA1" w:rsidP="00B33CA1">
      <w:pPr>
        <w:spacing w:before="40" w:after="0"/>
        <w:ind w:left="284"/>
        <w:jc w:val="center"/>
        <w:outlineLvl w:val="1"/>
        <w:rPr>
          <w:b/>
        </w:rPr>
      </w:pPr>
    </w:p>
    <w:p w14:paraId="67D4E41C" w14:textId="77777777" w:rsidR="00B33CA1" w:rsidRDefault="00B33CA1" w:rsidP="00B33CA1">
      <w:pPr>
        <w:spacing w:before="40" w:after="0"/>
        <w:ind w:left="284"/>
        <w:jc w:val="center"/>
        <w:outlineLvl w:val="1"/>
        <w:rPr>
          <w:b/>
        </w:rPr>
      </w:pPr>
    </w:p>
    <w:p w14:paraId="0EA3DA10" w14:textId="38EB3DCA" w:rsidR="00B33CA1" w:rsidRDefault="00BF23D0" w:rsidP="00B33CA1">
      <w:pPr>
        <w:spacing w:before="40" w:after="0"/>
        <w:ind w:left="720"/>
        <w:jc w:val="center"/>
        <w:rPr>
          <w:b/>
        </w:rPr>
      </w:pPr>
      <w:r w:rsidRPr="00BF23D0">
        <w:rPr>
          <w:b/>
        </w:rPr>
        <w:lastRenderedPageBreak/>
        <w:t xml:space="preserve">Annexe </w:t>
      </w:r>
      <w:r w:rsidR="00A62612">
        <w:rPr>
          <w:b/>
        </w:rPr>
        <w:t>5</w:t>
      </w:r>
      <w:r w:rsidRPr="00BF23D0">
        <w:rPr>
          <w:b/>
        </w:rPr>
        <w:t xml:space="preserve"> – Echelle de degré de maturité technologique dite échelle TRL</w:t>
      </w:r>
    </w:p>
    <w:p w14:paraId="4C54CB5C" w14:textId="77777777" w:rsidR="00B33CA1" w:rsidRDefault="00B33CA1" w:rsidP="00B33CA1">
      <w:pPr>
        <w:spacing w:before="40" w:after="0"/>
        <w:ind w:left="720"/>
        <w:jc w:val="center"/>
        <w:rPr>
          <w:b/>
        </w:rPr>
      </w:pPr>
    </w:p>
    <w:p w14:paraId="5BA0A790" w14:textId="3EF15B9F" w:rsidR="0072118C" w:rsidRDefault="00BF23D0" w:rsidP="00B33CA1">
      <w:pPr>
        <w:spacing w:before="40" w:after="0"/>
        <w:ind w:left="720"/>
        <w:jc w:val="center"/>
        <w:rPr>
          <w:b/>
        </w:rPr>
      </w:pPr>
      <w:r w:rsidRPr="0028544E">
        <w:rPr>
          <w:rFonts w:ascii="Times New Roman" w:hAnsi="Times New Roman" w:cs="Times New Roman"/>
          <w:b/>
          <w:noProof/>
          <w:lang w:eastAsia="fr-FR"/>
        </w:rPr>
        <w:drawing>
          <wp:anchor distT="0" distB="0" distL="114300" distR="114300" simplePos="0" relativeHeight="251659264" behindDoc="1" locked="0" layoutInCell="1" allowOverlap="1" wp14:anchorId="7A0C2EBA" wp14:editId="57AEADCC">
            <wp:simplePos x="0" y="0"/>
            <wp:positionH relativeFrom="page">
              <wp:posOffset>228600</wp:posOffset>
            </wp:positionH>
            <wp:positionV relativeFrom="paragraph">
              <wp:posOffset>283845</wp:posOffset>
            </wp:positionV>
            <wp:extent cx="7037705" cy="4928870"/>
            <wp:effectExtent l="0" t="0" r="0" b="5080"/>
            <wp:wrapTight wrapText="bothSides">
              <wp:wrapPolygon edited="0">
                <wp:start x="0" y="0"/>
                <wp:lineTo x="0" y="21539"/>
                <wp:lineTo x="21516" y="21539"/>
                <wp:lineTo x="21516" y="0"/>
                <wp:lineTo x="0" y="0"/>
              </wp:wrapPolygon>
            </wp:wrapTight>
            <wp:docPr id="2" name="Image 3" descr="2015_11_25 TRL_mesure_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2015_11_25 TRL_mesure_47"/>
                    <pic:cNvPicPr>
                      <a:picLocks noChangeAspect="1" noChangeArrowheads="1"/>
                    </pic:cNvPicPr>
                  </pic:nvPicPr>
                  <pic:blipFill rotWithShape="1">
                    <a:blip r:embed="rId17">
                      <a:extLst>
                        <a:ext uri="{28A0092B-C50C-407E-A947-70E740481C1C}">
                          <a14:useLocalDpi xmlns:a14="http://schemas.microsoft.com/office/drawing/2010/main" val="0"/>
                        </a:ext>
                      </a:extLst>
                    </a:blip>
                    <a:srcRect t="6789"/>
                    <a:stretch/>
                  </pic:blipFill>
                  <pic:spPr bwMode="auto">
                    <a:xfrm>
                      <a:off x="0" y="0"/>
                      <a:ext cx="7037705" cy="4928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72118C" w:rsidSect="00D314D5">
      <w:footerReference w:type="default" r:id="rId18"/>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A22D4" w14:textId="77777777" w:rsidR="006218A0" w:rsidRDefault="006218A0" w:rsidP="001212C9">
      <w:pPr>
        <w:spacing w:after="0" w:line="240" w:lineRule="auto"/>
      </w:pPr>
      <w:r>
        <w:separator/>
      </w:r>
    </w:p>
  </w:endnote>
  <w:endnote w:type="continuationSeparator" w:id="0">
    <w:p w14:paraId="1A36631F" w14:textId="77777777" w:rsidR="006218A0" w:rsidRDefault="006218A0"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EEF94" w14:textId="77777777" w:rsidR="006218A0" w:rsidRDefault="006218A0" w:rsidP="001212C9">
      <w:pPr>
        <w:spacing w:after="0" w:line="240" w:lineRule="auto"/>
      </w:pPr>
      <w:r>
        <w:separator/>
      </w:r>
    </w:p>
  </w:footnote>
  <w:footnote w:type="continuationSeparator" w:id="0">
    <w:p w14:paraId="54E6C1BE" w14:textId="77777777" w:rsidR="006218A0" w:rsidRDefault="006218A0" w:rsidP="001212C9">
      <w:pPr>
        <w:spacing w:after="0" w:line="240" w:lineRule="auto"/>
      </w:pPr>
      <w:r>
        <w:continuationSeparator/>
      </w:r>
    </w:p>
  </w:footnote>
  <w:footnote w:id="1">
    <w:p w14:paraId="0B0742F3" w14:textId="77777777" w:rsidR="00830E98" w:rsidRPr="001847D5" w:rsidRDefault="00830E98" w:rsidP="00830E98">
      <w:pPr>
        <w:pStyle w:val="Notedebasdepage"/>
      </w:pPr>
      <w:r w:rsidRPr="00B43689">
        <w:rPr>
          <w:rStyle w:val="Appelnotedebasdep"/>
          <w:sz w:val="18"/>
        </w:rPr>
        <w:footnoteRef/>
      </w:r>
      <w:r w:rsidRPr="00B43689">
        <w:rPr>
          <w:sz w:val="18"/>
        </w:rPr>
        <w:t xml:space="preserve"> Cf. définition en </w:t>
      </w:r>
      <w:r w:rsidRPr="001847D5">
        <w:rPr>
          <w:sz w:val="18"/>
        </w:rPr>
        <w:t>annexe 1</w:t>
      </w:r>
    </w:p>
  </w:footnote>
  <w:footnote w:id="2">
    <w:p w14:paraId="602A61D7" w14:textId="77777777" w:rsidR="00830E98" w:rsidRPr="00DF5DA9" w:rsidRDefault="00830E98" w:rsidP="00830E98">
      <w:pPr>
        <w:pStyle w:val="Titre1"/>
        <w:jc w:val="both"/>
        <w:rPr>
          <w:rFonts w:ascii="Times New Roman" w:eastAsia="Times New Roman" w:hAnsi="Times New Roman" w:cs="Times New Roman"/>
          <w:b/>
          <w:bCs/>
          <w:color w:val="auto"/>
          <w:kern w:val="36"/>
          <w:sz w:val="18"/>
          <w:szCs w:val="18"/>
          <w:lang w:eastAsia="fr-FR"/>
        </w:rPr>
      </w:pPr>
      <w:r w:rsidRPr="00C178FE">
        <w:rPr>
          <w:rStyle w:val="Appelnotedebasdep"/>
          <w:color w:val="auto"/>
          <w:sz w:val="18"/>
          <w:szCs w:val="18"/>
        </w:rPr>
        <w:footnoteRef/>
      </w:r>
      <w:r w:rsidRPr="00C178FE">
        <w:rPr>
          <w:color w:val="auto"/>
          <w:sz w:val="18"/>
          <w:szCs w:val="18"/>
        </w:rPr>
        <w:t xml:space="preserve"> </w:t>
      </w:r>
      <w:r w:rsidRPr="00DF5DA9">
        <w:rPr>
          <w:rFonts w:asciiTheme="minorHAnsi" w:eastAsia="Times New Roman" w:hAnsiTheme="minorHAnsi" w:cstheme="minorHAnsi"/>
          <w:bCs/>
          <w:color w:val="auto"/>
          <w:kern w:val="36"/>
          <w:sz w:val="18"/>
          <w:szCs w:val="18"/>
          <w:lang w:eastAsia="fr-FR"/>
        </w:rPr>
        <w:t>Décret n° 2022-608 du 21 avril 2022 fixant les règles nationales d'éligibilité des dépenses des programmes européens de la politique de cohésion et de la pêche et des affaires maritimes pour la période de programmation 2021-2027</w:t>
      </w:r>
    </w:p>
  </w:footnote>
  <w:footnote w:id="3">
    <w:p w14:paraId="6BEF4BF3" w14:textId="77777777" w:rsidR="00830E98" w:rsidRDefault="00830E98" w:rsidP="00830E98">
      <w:pPr>
        <w:pStyle w:val="Notedebasdepage"/>
      </w:pPr>
      <w:r>
        <w:rPr>
          <w:rStyle w:val="Appelnotedebasdep"/>
        </w:rPr>
        <w:footnoteRef/>
      </w:r>
      <w:r>
        <w:t xml:space="preserve"> </w:t>
      </w:r>
      <w:r w:rsidRPr="00B43689">
        <w:rPr>
          <w:sz w:val="18"/>
        </w:rPr>
        <w:t>Cf</w:t>
      </w:r>
      <w:r>
        <w:rPr>
          <w:sz w:val="18"/>
        </w:rPr>
        <w:t>. définition en annexe 1</w:t>
      </w:r>
    </w:p>
  </w:footnote>
  <w:footnote w:id="4">
    <w:p w14:paraId="111E6E63" w14:textId="77777777" w:rsidR="00830E98" w:rsidRDefault="00830E98" w:rsidP="00830E98">
      <w:pPr>
        <w:pStyle w:val="Notedebasdepage"/>
      </w:pPr>
      <w:r>
        <w:rPr>
          <w:rStyle w:val="Appelnotedebasdep"/>
        </w:rPr>
        <w:footnoteRef/>
      </w:r>
      <w:r>
        <w:t xml:space="preserve"> </w:t>
      </w:r>
      <w:r w:rsidRPr="003E62C7">
        <w:rPr>
          <w:sz w:val="18"/>
        </w:rPr>
        <w:t>Se référer à la définition présente</w:t>
      </w:r>
      <w:r>
        <w:rPr>
          <w:sz w:val="18"/>
        </w:rPr>
        <w:t xml:space="preserve"> en annexe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3" w15:restartNumberingAfterBreak="0">
    <w:nsid w:val="0FF67D59"/>
    <w:multiLevelType w:val="hybridMultilevel"/>
    <w:tmpl w:val="2438C478"/>
    <w:lvl w:ilvl="0" w:tplc="00000005">
      <w:numFmt w:val="bullet"/>
      <w:lvlText w:val="-"/>
      <w:lvlJc w:val="left"/>
      <w:pPr>
        <w:ind w:left="360" w:hanging="360"/>
      </w:pPr>
      <w:rPr>
        <w:rFonts w:ascii="Times New Roman" w:hAnsi="Times New Roman" w:cs="Symbol"/>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3277C3E"/>
    <w:multiLevelType w:val="hybridMultilevel"/>
    <w:tmpl w:val="6324BD78"/>
    <w:lvl w:ilvl="0" w:tplc="D0028B6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94851"/>
    <w:multiLevelType w:val="hybridMultilevel"/>
    <w:tmpl w:val="FA1472FA"/>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1D9501D5"/>
    <w:multiLevelType w:val="hybridMultilevel"/>
    <w:tmpl w:val="2D5EF65A"/>
    <w:lvl w:ilvl="0" w:tplc="040C0005">
      <w:start w:val="1"/>
      <w:numFmt w:val="bullet"/>
      <w:lvlText w:val=""/>
      <w:lvlJc w:val="left"/>
      <w:pPr>
        <w:ind w:left="927"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560400"/>
    <w:multiLevelType w:val="hybridMultilevel"/>
    <w:tmpl w:val="B518D9B0"/>
    <w:lvl w:ilvl="0" w:tplc="B8AC3114">
      <w:start w:val="1"/>
      <w:numFmt w:val="upperLetter"/>
      <w:lvlText w:val="%1."/>
      <w:lvlJc w:val="left"/>
      <w:pPr>
        <w:tabs>
          <w:tab w:val="num" w:pos="420"/>
        </w:tabs>
        <w:ind w:left="420" w:hanging="360"/>
      </w:pPr>
      <w:rPr>
        <w:b/>
      </w:rPr>
    </w:lvl>
    <w:lvl w:ilvl="1" w:tplc="040C0019">
      <w:start w:val="1"/>
      <w:numFmt w:val="lowerLetter"/>
      <w:lvlText w:val="%2."/>
      <w:lvlJc w:val="left"/>
      <w:pPr>
        <w:tabs>
          <w:tab w:val="num" w:pos="1140"/>
        </w:tabs>
        <w:ind w:left="1140" w:hanging="360"/>
      </w:pPr>
    </w:lvl>
    <w:lvl w:ilvl="2" w:tplc="040C001B" w:tentative="1">
      <w:start w:val="1"/>
      <w:numFmt w:val="lowerRoman"/>
      <w:lvlText w:val="%3."/>
      <w:lvlJc w:val="right"/>
      <w:pPr>
        <w:tabs>
          <w:tab w:val="num" w:pos="1860"/>
        </w:tabs>
        <w:ind w:left="1860" w:hanging="180"/>
      </w:pPr>
    </w:lvl>
    <w:lvl w:ilvl="3" w:tplc="040C000F" w:tentative="1">
      <w:start w:val="1"/>
      <w:numFmt w:val="decimal"/>
      <w:lvlText w:val="%4."/>
      <w:lvlJc w:val="left"/>
      <w:pPr>
        <w:tabs>
          <w:tab w:val="num" w:pos="2580"/>
        </w:tabs>
        <w:ind w:left="2580" w:hanging="360"/>
      </w:pPr>
    </w:lvl>
    <w:lvl w:ilvl="4" w:tplc="040C0019" w:tentative="1">
      <w:start w:val="1"/>
      <w:numFmt w:val="lowerLetter"/>
      <w:lvlText w:val="%5."/>
      <w:lvlJc w:val="left"/>
      <w:pPr>
        <w:tabs>
          <w:tab w:val="num" w:pos="3300"/>
        </w:tabs>
        <w:ind w:left="3300" w:hanging="360"/>
      </w:pPr>
    </w:lvl>
    <w:lvl w:ilvl="5" w:tplc="040C001B" w:tentative="1">
      <w:start w:val="1"/>
      <w:numFmt w:val="lowerRoman"/>
      <w:lvlText w:val="%6."/>
      <w:lvlJc w:val="right"/>
      <w:pPr>
        <w:tabs>
          <w:tab w:val="num" w:pos="4020"/>
        </w:tabs>
        <w:ind w:left="4020" w:hanging="180"/>
      </w:pPr>
    </w:lvl>
    <w:lvl w:ilvl="6" w:tplc="040C000F" w:tentative="1">
      <w:start w:val="1"/>
      <w:numFmt w:val="decimal"/>
      <w:lvlText w:val="%7."/>
      <w:lvlJc w:val="left"/>
      <w:pPr>
        <w:tabs>
          <w:tab w:val="num" w:pos="4740"/>
        </w:tabs>
        <w:ind w:left="4740" w:hanging="360"/>
      </w:pPr>
    </w:lvl>
    <w:lvl w:ilvl="7" w:tplc="040C0019" w:tentative="1">
      <w:start w:val="1"/>
      <w:numFmt w:val="lowerLetter"/>
      <w:lvlText w:val="%8."/>
      <w:lvlJc w:val="left"/>
      <w:pPr>
        <w:tabs>
          <w:tab w:val="num" w:pos="5460"/>
        </w:tabs>
        <w:ind w:left="5460" w:hanging="360"/>
      </w:pPr>
    </w:lvl>
    <w:lvl w:ilvl="8" w:tplc="040C001B" w:tentative="1">
      <w:start w:val="1"/>
      <w:numFmt w:val="lowerRoman"/>
      <w:lvlText w:val="%9."/>
      <w:lvlJc w:val="right"/>
      <w:pPr>
        <w:tabs>
          <w:tab w:val="num" w:pos="6180"/>
        </w:tabs>
        <w:ind w:left="6180" w:hanging="180"/>
      </w:pPr>
    </w:lvl>
  </w:abstractNum>
  <w:abstractNum w:abstractNumId="11" w15:restartNumberingAfterBreak="0">
    <w:nsid w:val="2A703E5E"/>
    <w:multiLevelType w:val="hybridMultilevel"/>
    <w:tmpl w:val="0450C0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9A1158"/>
    <w:multiLevelType w:val="hybridMultilevel"/>
    <w:tmpl w:val="BE6A632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2BC0E71"/>
    <w:multiLevelType w:val="hybridMultilevel"/>
    <w:tmpl w:val="EE361C38"/>
    <w:lvl w:ilvl="0" w:tplc="040C000F">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8C3460"/>
    <w:multiLevelType w:val="hybridMultilevel"/>
    <w:tmpl w:val="0FF0E14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5692FBD"/>
    <w:multiLevelType w:val="hybridMultilevel"/>
    <w:tmpl w:val="18AA8D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A16FF6"/>
    <w:multiLevelType w:val="hybridMultilevel"/>
    <w:tmpl w:val="AA3660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8" w15:restartNumberingAfterBreak="0">
    <w:nsid w:val="3B322A3B"/>
    <w:multiLevelType w:val="hybridMultilevel"/>
    <w:tmpl w:val="F9D89508"/>
    <w:lvl w:ilvl="0" w:tplc="040C000F">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3B734F"/>
    <w:multiLevelType w:val="hybridMultilevel"/>
    <w:tmpl w:val="AFA61ADA"/>
    <w:lvl w:ilvl="0" w:tplc="040C000F">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CA36AEA"/>
    <w:multiLevelType w:val="hybridMultilevel"/>
    <w:tmpl w:val="D85CD6AA"/>
    <w:lvl w:ilvl="0" w:tplc="7480C004">
      <w:start w:val="9"/>
      <w:numFmt w:val="bullet"/>
      <w:lvlText w:val="-"/>
      <w:lvlJc w:val="left"/>
      <w:pPr>
        <w:ind w:left="720" w:hanging="360"/>
      </w:pPr>
      <w:rPr>
        <w:rFonts w:ascii="Calibri" w:eastAsiaTheme="minorHAnsi"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22"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011647"/>
    <w:multiLevelType w:val="hybridMultilevel"/>
    <w:tmpl w:val="D08C003E"/>
    <w:lvl w:ilvl="0" w:tplc="996E89A2">
      <w:start w:val="1"/>
      <w:numFmt w:val="bullet"/>
      <w:lvlText w:val=""/>
      <w:lvlJc w:val="left"/>
      <w:pPr>
        <w:tabs>
          <w:tab w:val="num" w:pos="720"/>
        </w:tabs>
        <w:ind w:left="720" w:hanging="360"/>
      </w:pPr>
      <w:rPr>
        <w:rFonts w:ascii="Wingdings" w:hAnsi="Wingdings" w:hint="default"/>
      </w:rPr>
    </w:lvl>
    <w:lvl w:ilvl="1" w:tplc="6E7607FA">
      <w:start w:val="1"/>
      <w:numFmt w:val="bullet"/>
      <w:lvlText w:val=""/>
      <w:lvlJc w:val="left"/>
      <w:pPr>
        <w:tabs>
          <w:tab w:val="num" w:pos="1440"/>
        </w:tabs>
        <w:ind w:left="1440" w:hanging="360"/>
      </w:pPr>
      <w:rPr>
        <w:rFonts w:ascii="Wingdings" w:hAnsi="Wingdings" w:hint="default"/>
      </w:rPr>
    </w:lvl>
    <w:lvl w:ilvl="2" w:tplc="79841D80" w:tentative="1">
      <w:start w:val="1"/>
      <w:numFmt w:val="bullet"/>
      <w:lvlText w:val=""/>
      <w:lvlJc w:val="left"/>
      <w:pPr>
        <w:tabs>
          <w:tab w:val="num" w:pos="2160"/>
        </w:tabs>
        <w:ind w:left="2160" w:hanging="360"/>
      </w:pPr>
      <w:rPr>
        <w:rFonts w:ascii="Wingdings" w:hAnsi="Wingdings" w:hint="default"/>
      </w:rPr>
    </w:lvl>
    <w:lvl w:ilvl="3" w:tplc="FD0A1642" w:tentative="1">
      <w:start w:val="1"/>
      <w:numFmt w:val="bullet"/>
      <w:lvlText w:val=""/>
      <w:lvlJc w:val="left"/>
      <w:pPr>
        <w:tabs>
          <w:tab w:val="num" w:pos="2880"/>
        </w:tabs>
        <w:ind w:left="2880" w:hanging="360"/>
      </w:pPr>
      <w:rPr>
        <w:rFonts w:ascii="Wingdings" w:hAnsi="Wingdings" w:hint="default"/>
      </w:rPr>
    </w:lvl>
    <w:lvl w:ilvl="4" w:tplc="2050108E" w:tentative="1">
      <w:start w:val="1"/>
      <w:numFmt w:val="bullet"/>
      <w:lvlText w:val=""/>
      <w:lvlJc w:val="left"/>
      <w:pPr>
        <w:tabs>
          <w:tab w:val="num" w:pos="3600"/>
        </w:tabs>
        <w:ind w:left="3600" w:hanging="360"/>
      </w:pPr>
      <w:rPr>
        <w:rFonts w:ascii="Wingdings" w:hAnsi="Wingdings" w:hint="default"/>
      </w:rPr>
    </w:lvl>
    <w:lvl w:ilvl="5" w:tplc="768EA45A" w:tentative="1">
      <w:start w:val="1"/>
      <w:numFmt w:val="bullet"/>
      <w:lvlText w:val=""/>
      <w:lvlJc w:val="left"/>
      <w:pPr>
        <w:tabs>
          <w:tab w:val="num" w:pos="4320"/>
        </w:tabs>
        <w:ind w:left="4320" w:hanging="360"/>
      </w:pPr>
      <w:rPr>
        <w:rFonts w:ascii="Wingdings" w:hAnsi="Wingdings" w:hint="default"/>
      </w:rPr>
    </w:lvl>
    <w:lvl w:ilvl="6" w:tplc="BD725B08" w:tentative="1">
      <w:start w:val="1"/>
      <w:numFmt w:val="bullet"/>
      <w:lvlText w:val=""/>
      <w:lvlJc w:val="left"/>
      <w:pPr>
        <w:tabs>
          <w:tab w:val="num" w:pos="5040"/>
        </w:tabs>
        <w:ind w:left="5040" w:hanging="360"/>
      </w:pPr>
      <w:rPr>
        <w:rFonts w:ascii="Wingdings" w:hAnsi="Wingdings" w:hint="default"/>
      </w:rPr>
    </w:lvl>
    <w:lvl w:ilvl="7" w:tplc="A740AB54" w:tentative="1">
      <w:start w:val="1"/>
      <w:numFmt w:val="bullet"/>
      <w:lvlText w:val=""/>
      <w:lvlJc w:val="left"/>
      <w:pPr>
        <w:tabs>
          <w:tab w:val="num" w:pos="5760"/>
        </w:tabs>
        <w:ind w:left="5760" w:hanging="360"/>
      </w:pPr>
      <w:rPr>
        <w:rFonts w:ascii="Wingdings" w:hAnsi="Wingdings" w:hint="default"/>
      </w:rPr>
    </w:lvl>
    <w:lvl w:ilvl="8" w:tplc="41B8AD6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065093"/>
    <w:multiLevelType w:val="hybridMultilevel"/>
    <w:tmpl w:val="24BCC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6E1062"/>
    <w:multiLevelType w:val="hybridMultilevel"/>
    <w:tmpl w:val="61EC229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E27835"/>
    <w:multiLevelType w:val="hybridMultilevel"/>
    <w:tmpl w:val="A01A9DD2"/>
    <w:lvl w:ilvl="0" w:tplc="040C0017">
      <w:start w:val="1"/>
      <w:numFmt w:val="lowerLetter"/>
      <w:lvlText w:val="%1)"/>
      <w:lvlJc w:val="left"/>
      <w:pPr>
        <w:tabs>
          <w:tab w:val="num" w:pos="960"/>
        </w:tabs>
        <w:ind w:left="960" w:hanging="360"/>
      </w:pPr>
    </w:lvl>
    <w:lvl w:ilvl="1" w:tplc="040C0019" w:tentative="1">
      <w:start w:val="1"/>
      <w:numFmt w:val="lowerLetter"/>
      <w:lvlText w:val="%2."/>
      <w:lvlJc w:val="left"/>
      <w:pPr>
        <w:tabs>
          <w:tab w:val="num" w:pos="1680"/>
        </w:tabs>
        <w:ind w:left="1680" w:hanging="360"/>
      </w:pPr>
    </w:lvl>
    <w:lvl w:ilvl="2" w:tplc="040C001B" w:tentative="1">
      <w:start w:val="1"/>
      <w:numFmt w:val="lowerRoman"/>
      <w:lvlText w:val="%3."/>
      <w:lvlJc w:val="right"/>
      <w:pPr>
        <w:tabs>
          <w:tab w:val="num" w:pos="2400"/>
        </w:tabs>
        <w:ind w:left="2400" w:hanging="180"/>
      </w:pPr>
    </w:lvl>
    <w:lvl w:ilvl="3" w:tplc="040C000F" w:tentative="1">
      <w:start w:val="1"/>
      <w:numFmt w:val="decimal"/>
      <w:lvlText w:val="%4."/>
      <w:lvlJc w:val="left"/>
      <w:pPr>
        <w:tabs>
          <w:tab w:val="num" w:pos="3120"/>
        </w:tabs>
        <w:ind w:left="3120" w:hanging="360"/>
      </w:pPr>
    </w:lvl>
    <w:lvl w:ilvl="4" w:tplc="040C0019" w:tentative="1">
      <w:start w:val="1"/>
      <w:numFmt w:val="lowerLetter"/>
      <w:lvlText w:val="%5."/>
      <w:lvlJc w:val="left"/>
      <w:pPr>
        <w:tabs>
          <w:tab w:val="num" w:pos="3840"/>
        </w:tabs>
        <w:ind w:left="3840" w:hanging="360"/>
      </w:pPr>
    </w:lvl>
    <w:lvl w:ilvl="5" w:tplc="040C001B" w:tentative="1">
      <w:start w:val="1"/>
      <w:numFmt w:val="lowerRoman"/>
      <w:lvlText w:val="%6."/>
      <w:lvlJc w:val="right"/>
      <w:pPr>
        <w:tabs>
          <w:tab w:val="num" w:pos="4560"/>
        </w:tabs>
        <w:ind w:left="4560" w:hanging="180"/>
      </w:pPr>
    </w:lvl>
    <w:lvl w:ilvl="6" w:tplc="040C000F" w:tentative="1">
      <w:start w:val="1"/>
      <w:numFmt w:val="decimal"/>
      <w:lvlText w:val="%7."/>
      <w:lvlJc w:val="left"/>
      <w:pPr>
        <w:tabs>
          <w:tab w:val="num" w:pos="5280"/>
        </w:tabs>
        <w:ind w:left="5280" w:hanging="360"/>
      </w:pPr>
    </w:lvl>
    <w:lvl w:ilvl="7" w:tplc="040C0019" w:tentative="1">
      <w:start w:val="1"/>
      <w:numFmt w:val="lowerLetter"/>
      <w:lvlText w:val="%8."/>
      <w:lvlJc w:val="left"/>
      <w:pPr>
        <w:tabs>
          <w:tab w:val="num" w:pos="6000"/>
        </w:tabs>
        <w:ind w:left="6000" w:hanging="360"/>
      </w:pPr>
    </w:lvl>
    <w:lvl w:ilvl="8" w:tplc="040C001B" w:tentative="1">
      <w:start w:val="1"/>
      <w:numFmt w:val="lowerRoman"/>
      <w:lvlText w:val="%9."/>
      <w:lvlJc w:val="right"/>
      <w:pPr>
        <w:tabs>
          <w:tab w:val="num" w:pos="6720"/>
        </w:tabs>
        <w:ind w:left="6720" w:hanging="180"/>
      </w:pPr>
    </w:lvl>
  </w:abstractNum>
  <w:abstractNum w:abstractNumId="27" w15:restartNumberingAfterBreak="0">
    <w:nsid w:val="49FA50D0"/>
    <w:multiLevelType w:val="hybridMultilevel"/>
    <w:tmpl w:val="56F0D148"/>
    <w:lvl w:ilvl="0" w:tplc="F5EE69A6">
      <w:start w:val="1"/>
      <w:numFmt w:val="upperRoman"/>
      <w:lvlText w:val="%1."/>
      <w:lvlJc w:val="righ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0C43C9A"/>
    <w:multiLevelType w:val="hybridMultilevel"/>
    <w:tmpl w:val="3452AF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30" w15:restartNumberingAfterBreak="0">
    <w:nsid w:val="59834C34"/>
    <w:multiLevelType w:val="hybridMultilevel"/>
    <w:tmpl w:val="7A76A3A6"/>
    <w:lvl w:ilvl="0" w:tplc="040C0017">
      <w:start w:val="1"/>
      <w:numFmt w:val="lowerLetter"/>
      <w:lvlText w:val="%1)"/>
      <w:lvlJc w:val="left"/>
      <w:pPr>
        <w:tabs>
          <w:tab w:val="num" w:pos="960"/>
        </w:tabs>
        <w:ind w:left="960" w:hanging="360"/>
      </w:pPr>
    </w:lvl>
    <w:lvl w:ilvl="1" w:tplc="00000005">
      <w:numFmt w:val="bullet"/>
      <w:lvlText w:val="-"/>
      <w:lvlJc w:val="left"/>
      <w:pPr>
        <w:tabs>
          <w:tab w:val="num" w:pos="1680"/>
        </w:tabs>
        <w:ind w:left="1680" w:hanging="360"/>
      </w:pPr>
      <w:rPr>
        <w:rFonts w:ascii="Times New Roman" w:hAnsi="Times New Roman" w:cs="Symbol"/>
      </w:rPr>
    </w:lvl>
    <w:lvl w:ilvl="2" w:tplc="040C001B" w:tentative="1">
      <w:start w:val="1"/>
      <w:numFmt w:val="lowerRoman"/>
      <w:lvlText w:val="%3."/>
      <w:lvlJc w:val="right"/>
      <w:pPr>
        <w:tabs>
          <w:tab w:val="num" w:pos="2400"/>
        </w:tabs>
        <w:ind w:left="2400" w:hanging="180"/>
      </w:pPr>
    </w:lvl>
    <w:lvl w:ilvl="3" w:tplc="040C000F" w:tentative="1">
      <w:start w:val="1"/>
      <w:numFmt w:val="decimal"/>
      <w:lvlText w:val="%4."/>
      <w:lvlJc w:val="left"/>
      <w:pPr>
        <w:tabs>
          <w:tab w:val="num" w:pos="3120"/>
        </w:tabs>
        <w:ind w:left="3120" w:hanging="360"/>
      </w:pPr>
    </w:lvl>
    <w:lvl w:ilvl="4" w:tplc="040C0019" w:tentative="1">
      <w:start w:val="1"/>
      <w:numFmt w:val="lowerLetter"/>
      <w:lvlText w:val="%5."/>
      <w:lvlJc w:val="left"/>
      <w:pPr>
        <w:tabs>
          <w:tab w:val="num" w:pos="3840"/>
        </w:tabs>
        <w:ind w:left="3840" w:hanging="360"/>
      </w:pPr>
    </w:lvl>
    <w:lvl w:ilvl="5" w:tplc="040C001B" w:tentative="1">
      <w:start w:val="1"/>
      <w:numFmt w:val="lowerRoman"/>
      <w:lvlText w:val="%6."/>
      <w:lvlJc w:val="right"/>
      <w:pPr>
        <w:tabs>
          <w:tab w:val="num" w:pos="4560"/>
        </w:tabs>
        <w:ind w:left="4560" w:hanging="180"/>
      </w:pPr>
    </w:lvl>
    <w:lvl w:ilvl="6" w:tplc="040C000F" w:tentative="1">
      <w:start w:val="1"/>
      <w:numFmt w:val="decimal"/>
      <w:lvlText w:val="%7."/>
      <w:lvlJc w:val="left"/>
      <w:pPr>
        <w:tabs>
          <w:tab w:val="num" w:pos="5280"/>
        </w:tabs>
        <w:ind w:left="5280" w:hanging="360"/>
      </w:pPr>
    </w:lvl>
    <w:lvl w:ilvl="7" w:tplc="040C0019" w:tentative="1">
      <w:start w:val="1"/>
      <w:numFmt w:val="lowerLetter"/>
      <w:lvlText w:val="%8."/>
      <w:lvlJc w:val="left"/>
      <w:pPr>
        <w:tabs>
          <w:tab w:val="num" w:pos="6000"/>
        </w:tabs>
        <w:ind w:left="6000" w:hanging="360"/>
      </w:pPr>
    </w:lvl>
    <w:lvl w:ilvl="8" w:tplc="040C001B" w:tentative="1">
      <w:start w:val="1"/>
      <w:numFmt w:val="lowerRoman"/>
      <w:lvlText w:val="%9."/>
      <w:lvlJc w:val="right"/>
      <w:pPr>
        <w:tabs>
          <w:tab w:val="num" w:pos="6720"/>
        </w:tabs>
        <w:ind w:left="6720" w:hanging="180"/>
      </w:pPr>
    </w:lvl>
  </w:abstractNum>
  <w:abstractNum w:abstractNumId="31"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6100054E"/>
    <w:multiLevelType w:val="hybridMultilevel"/>
    <w:tmpl w:val="80420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35" w15:restartNumberingAfterBreak="0">
    <w:nsid w:val="667735C1"/>
    <w:multiLevelType w:val="multilevel"/>
    <w:tmpl w:val="DF64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7" w15:restartNumberingAfterBreak="0">
    <w:nsid w:val="6F431C47"/>
    <w:multiLevelType w:val="hybridMultilevel"/>
    <w:tmpl w:val="B5283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9" w15:restartNumberingAfterBreak="0">
    <w:nsid w:val="709F52F2"/>
    <w:multiLevelType w:val="multilevel"/>
    <w:tmpl w:val="B3B0E28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77CE6F3B"/>
    <w:multiLevelType w:val="hybridMultilevel"/>
    <w:tmpl w:val="618CD4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3136A9"/>
    <w:multiLevelType w:val="hybridMultilevel"/>
    <w:tmpl w:val="BC8C01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2104BD"/>
    <w:multiLevelType w:val="hybridMultilevel"/>
    <w:tmpl w:val="FA449918"/>
    <w:lvl w:ilvl="0" w:tplc="D0028B68">
      <w:numFmt w:val="bullet"/>
      <w:lvlText w:val="-"/>
      <w:lvlJc w:val="left"/>
      <w:pPr>
        <w:tabs>
          <w:tab w:val="num" w:pos="420"/>
        </w:tabs>
        <w:ind w:left="420" w:hanging="360"/>
      </w:pPr>
      <w:rPr>
        <w:rFonts w:ascii="Calibri" w:eastAsia="Calibri" w:hAnsi="Calibri" w:cs="Calibri" w:hint="default"/>
      </w:rPr>
    </w:lvl>
    <w:lvl w:ilvl="1" w:tplc="040C0019">
      <w:start w:val="1"/>
      <w:numFmt w:val="lowerLetter"/>
      <w:lvlText w:val="%2."/>
      <w:lvlJc w:val="left"/>
      <w:pPr>
        <w:tabs>
          <w:tab w:val="num" w:pos="1140"/>
        </w:tabs>
        <w:ind w:left="1140" w:hanging="360"/>
      </w:pPr>
    </w:lvl>
    <w:lvl w:ilvl="2" w:tplc="040C001B" w:tentative="1">
      <w:start w:val="1"/>
      <w:numFmt w:val="lowerRoman"/>
      <w:lvlText w:val="%3."/>
      <w:lvlJc w:val="right"/>
      <w:pPr>
        <w:tabs>
          <w:tab w:val="num" w:pos="1860"/>
        </w:tabs>
        <w:ind w:left="1860" w:hanging="180"/>
      </w:pPr>
    </w:lvl>
    <w:lvl w:ilvl="3" w:tplc="040C000F" w:tentative="1">
      <w:start w:val="1"/>
      <w:numFmt w:val="decimal"/>
      <w:lvlText w:val="%4."/>
      <w:lvlJc w:val="left"/>
      <w:pPr>
        <w:tabs>
          <w:tab w:val="num" w:pos="2580"/>
        </w:tabs>
        <w:ind w:left="2580" w:hanging="360"/>
      </w:pPr>
    </w:lvl>
    <w:lvl w:ilvl="4" w:tplc="040C0019" w:tentative="1">
      <w:start w:val="1"/>
      <w:numFmt w:val="lowerLetter"/>
      <w:lvlText w:val="%5."/>
      <w:lvlJc w:val="left"/>
      <w:pPr>
        <w:tabs>
          <w:tab w:val="num" w:pos="3300"/>
        </w:tabs>
        <w:ind w:left="3300" w:hanging="360"/>
      </w:pPr>
    </w:lvl>
    <w:lvl w:ilvl="5" w:tplc="040C001B" w:tentative="1">
      <w:start w:val="1"/>
      <w:numFmt w:val="lowerRoman"/>
      <w:lvlText w:val="%6."/>
      <w:lvlJc w:val="right"/>
      <w:pPr>
        <w:tabs>
          <w:tab w:val="num" w:pos="4020"/>
        </w:tabs>
        <w:ind w:left="4020" w:hanging="180"/>
      </w:pPr>
    </w:lvl>
    <w:lvl w:ilvl="6" w:tplc="040C000F" w:tentative="1">
      <w:start w:val="1"/>
      <w:numFmt w:val="decimal"/>
      <w:lvlText w:val="%7."/>
      <w:lvlJc w:val="left"/>
      <w:pPr>
        <w:tabs>
          <w:tab w:val="num" w:pos="4740"/>
        </w:tabs>
        <w:ind w:left="4740" w:hanging="360"/>
      </w:pPr>
    </w:lvl>
    <w:lvl w:ilvl="7" w:tplc="040C0019" w:tentative="1">
      <w:start w:val="1"/>
      <w:numFmt w:val="lowerLetter"/>
      <w:lvlText w:val="%8."/>
      <w:lvlJc w:val="left"/>
      <w:pPr>
        <w:tabs>
          <w:tab w:val="num" w:pos="5460"/>
        </w:tabs>
        <w:ind w:left="5460" w:hanging="360"/>
      </w:pPr>
    </w:lvl>
    <w:lvl w:ilvl="8" w:tplc="040C001B" w:tentative="1">
      <w:start w:val="1"/>
      <w:numFmt w:val="lowerRoman"/>
      <w:lvlText w:val="%9."/>
      <w:lvlJc w:val="right"/>
      <w:pPr>
        <w:tabs>
          <w:tab w:val="num" w:pos="6180"/>
        </w:tabs>
        <w:ind w:left="6180" w:hanging="180"/>
      </w:pPr>
    </w:lvl>
  </w:abstractNum>
  <w:num w:numId="1" w16cid:durableId="1607612519">
    <w:abstractNumId w:val="22"/>
  </w:num>
  <w:num w:numId="2" w16cid:durableId="826439154">
    <w:abstractNumId w:val="38"/>
  </w:num>
  <w:num w:numId="3" w16cid:durableId="1098601331">
    <w:abstractNumId w:val="17"/>
  </w:num>
  <w:num w:numId="4" w16cid:durableId="499347468">
    <w:abstractNumId w:val="0"/>
  </w:num>
  <w:num w:numId="5" w16cid:durableId="141581606">
    <w:abstractNumId w:val="5"/>
  </w:num>
  <w:num w:numId="6" w16cid:durableId="371617382">
    <w:abstractNumId w:val="36"/>
  </w:num>
  <w:num w:numId="7" w16cid:durableId="1644458477">
    <w:abstractNumId w:val="1"/>
  </w:num>
  <w:num w:numId="8" w16cid:durableId="578558079">
    <w:abstractNumId w:val="8"/>
  </w:num>
  <w:num w:numId="9" w16cid:durableId="260382013">
    <w:abstractNumId w:val="2"/>
  </w:num>
  <w:num w:numId="10" w16cid:durableId="1664509887">
    <w:abstractNumId w:val="34"/>
  </w:num>
  <w:num w:numId="11" w16cid:durableId="1528718528">
    <w:abstractNumId w:val="21"/>
  </w:num>
  <w:num w:numId="12" w16cid:durableId="360128581">
    <w:abstractNumId w:val="29"/>
  </w:num>
  <w:num w:numId="13" w16cid:durableId="255214784">
    <w:abstractNumId w:val="6"/>
  </w:num>
  <w:num w:numId="14" w16cid:durableId="446001202">
    <w:abstractNumId w:val="33"/>
  </w:num>
  <w:num w:numId="15" w16cid:durableId="978730755">
    <w:abstractNumId w:val="31"/>
  </w:num>
  <w:num w:numId="16" w16cid:durableId="695544333">
    <w:abstractNumId w:val="7"/>
  </w:num>
  <w:num w:numId="17" w16cid:durableId="682129127">
    <w:abstractNumId w:val="11"/>
  </w:num>
  <w:num w:numId="18" w16cid:durableId="993071973">
    <w:abstractNumId w:val="19"/>
  </w:num>
  <w:num w:numId="19" w16cid:durableId="1327050748">
    <w:abstractNumId w:val="20"/>
  </w:num>
  <w:num w:numId="20" w16cid:durableId="1789154290">
    <w:abstractNumId w:val="41"/>
  </w:num>
  <w:num w:numId="21" w16cid:durableId="697007200">
    <w:abstractNumId w:val="16"/>
  </w:num>
  <w:num w:numId="22" w16cid:durableId="253169241">
    <w:abstractNumId w:val="9"/>
  </w:num>
  <w:num w:numId="23" w16cid:durableId="1206678709">
    <w:abstractNumId w:val="25"/>
  </w:num>
  <w:num w:numId="24" w16cid:durableId="1642416677">
    <w:abstractNumId w:val="15"/>
  </w:num>
  <w:num w:numId="25" w16cid:durableId="964122905">
    <w:abstractNumId w:val="28"/>
  </w:num>
  <w:num w:numId="26" w16cid:durableId="1500731190">
    <w:abstractNumId w:val="14"/>
  </w:num>
  <w:num w:numId="27" w16cid:durableId="1952667143">
    <w:abstractNumId w:val="23"/>
  </w:num>
  <w:num w:numId="28" w16cid:durableId="600189962">
    <w:abstractNumId w:val="18"/>
  </w:num>
  <w:num w:numId="29" w16cid:durableId="2110924823">
    <w:abstractNumId w:val="27"/>
  </w:num>
  <w:num w:numId="30" w16cid:durableId="686449303">
    <w:abstractNumId w:val="35"/>
  </w:num>
  <w:num w:numId="31" w16cid:durableId="193925701">
    <w:abstractNumId w:val="37"/>
  </w:num>
  <w:num w:numId="32" w16cid:durableId="485166241">
    <w:abstractNumId w:val="32"/>
  </w:num>
  <w:num w:numId="33" w16cid:durableId="903947315">
    <w:abstractNumId w:val="13"/>
  </w:num>
  <w:num w:numId="34" w16cid:durableId="112187552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38313073">
    <w:abstractNumId w:val="10"/>
  </w:num>
  <w:num w:numId="36" w16cid:durableId="697924824">
    <w:abstractNumId w:val="4"/>
  </w:num>
  <w:num w:numId="37" w16cid:durableId="769203024">
    <w:abstractNumId w:val="30"/>
  </w:num>
  <w:num w:numId="38" w16cid:durableId="315109361">
    <w:abstractNumId w:val="26"/>
  </w:num>
  <w:num w:numId="39" w16cid:durableId="2082940134">
    <w:abstractNumId w:val="3"/>
  </w:num>
  <w:num w:numId="40" w16cid:durableId="1063943960">
    <w:abstractNumId w:val="42"/>
  </w:num>
  <w:num w:numId="41" w16cid:durableId="75832570">
    <w:abstractNumId w:val="40"/>
  </w:num>
  <w:num w:numId="42" w16cid:durableId="1574585781">
    <w:abstractNumId w:val="12"/>
  </w:num>
  <w:num w:numId="43" w16cid:durableId="12505091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21353"/>
    <w:rsid w:val="000364C9"/>
    <w:rsid w:val="00036DBF"/>
    <w:rsid w:val="000376B6"/>
    <w:rsid w:val="00056C0D"/>
    <w:rsid w:val="0006589F"/>
    <w:rsid w:val="00073C0B"/>
    <w:rsid w:val="000778C1"/>
    <w:rsid w:val="00081A03"/>
    <w:rsid w:val="000839EC"/>
    <w:rsid w:val="000965EE"/>
    <w:rsid w:val="000A31FD"/>
    <w:rsid w:val="000A4A12"/>
    <w:rsid w:val="000B530C"/>
    <w:rsid w:val="000C05C8"/>
    <w:rsid w:val="000C36B8"/>
    <w:rsid w:val="000C4695"/>
    <w:rsid w:val="000D4030"/>
    <w:rsid w:val="000E02C2"/>
    <w:rsid w:val="000E39BC"/>
    <w:rsid w:val="000F3C7E"/>
    <w:rsid w:val="00106AFF"/>
    <w:rsid w:val="00120845"/>
    <w:rsid w:val="001212C9"/>
    <w:rsid w:val="00122163"/>
    <w:rsid w:val="0013001B"/>
    <w:rsid w:val="00133196"/>
    <w:rsid w:val="00133450"/>
    <w:rsid w:val="00140D1D"/>
    <w:rsid w:val="00142BD6"/>
    <w:rsid w:val="00150538"/>
    <w:rsid w:val="00160D16"/>
    <w:rsid w:val="00164D27"/>
    <w:rsid w:val="00165BDE"/>
    <w:rsid w:val="001671F8"/>
    <w:rsid w:val="00175B02"/>
    <w:rsid w:val="001847D5"/>
    <w:rsid w:val="00184BBE"/>
    <w:rsid w:val="001A4FAF"/>
    <w:rsid w:val="001B1C91"/>
    <w:rsid w:val="001D778D"/>
    <w:rsid w:val="001E3C66"/>
    <w:rsid w:val="001E5EAA"/>
    <w:rsid w:val="001E6019"/>
    <w:rsid w:val="001F1D32"/>
    <w:rsid w:val="001F542C"/>
    <w:rsid w:val="00200C04"/>
    <w:rsid w:val="00202C52"/>
    <w:rsid w:val="00203DBE"/>
    <w:rsid w:val="00206867"/>
    <w:rsid w:val="002077B6"/>
    <w:rsid w:val="00210750"/>
    <w:rsid w:val="00224D65"/>
    <w:rsid w:val="00224EE1"/>
    <w:rsid w:val="00225F72"/>
    <w:rsid w:val="002320EB"/>
    <w:rsid w:val="00237399"/>
    <w:rsid w:val="00237B1F"/>
    <w:rsid w:val="00241F94"/>
    <w:rsid w:val="00244C64"/>
    <w:rsid w:val="0025065C"/>
    <w:rsid w:val="00254FD4"/>
    <w:rsid w:val="002652EF"/>
    <w:rsid w:val="002720B6"/>
    <w:rsid w:val="0027282C"/>
    <w:rsid w:val="00281C56"/>
    <w:rsid w:val="002834A8"/>
    <w:rsid w:val="0028407C"/>
    <w:rsid w:val="00290D15"/>
    <w:rsid w:val="002A034A"/>
    <w:rsid w:val="002A2A3A"/>
    <w:rsid w:val="002A3A2E"/>
    <w:rsid w:val="002A4D0E"/>
    <w:rsid w:val="002A4FA2"/>
    <w:rsid w:val="002A5D29"/>
    <w:rsid w:val="002B0801"/>
    <w:rsid w:val="002B4E41"/>
    <w:rsid w:val="002B7ABE"/>
    <w:rsid w:val="002C1C38"/>
    <w:rsid w:val="002C29B9"/>
    <w:rsid w:val="002C3E7A"/>
    <w:rsid w:val="002C574B"/>
    <w:rsid w:val="002C6A41"/>
    <w:rsid w:val="002E106B"/>
    <w:rsid w:val="002E6DAF"/>
    <w:rsid w:val="002F694D"/>
    <w:rsid w:val="00304F8B"/>
    <w:rsid w:val="00307385"/>
    <w:rsid w:val="00310EF6"/>
    <w:rsid w:val="00317E0F"/>
    <w:rsid w:val="00326083"/>
    <w:rsid w:val="00332C86"/>
    <w:rsid w:val="003342E4"/>
    <w:rsid w:val="0034325E"/>
    <w:rsid w:val="0034488B"/>
    <w:rsid w:val="00347B10"/>
    <w:rsid w:val="00352708"/>
    <w:rsid w:val="00354CF6"/>
    <w:rsid w:val="003635DF"/>
    <w:rsid w:val="0037745D"/>
    <w:rsid w:val="0038078C"/>
    <w:rsid w:val="00385647"/>
    <w:rsid w:val="003B06E6"/>
    <w:rsid w:val="003B7D04"/>
    <w:rsid w:val="003C3CDD"/>
    <w:rsid w:val="003C4C4F"/>
    <w:rsid w:val="003D0B07"/>
    <w:rsid w:val="003D2FF9"/>
    <w:rsid w:val="003D3E3E"/>
    <w:rsid w:val="003D698E"/>
    <w:rsid w:val="003F2661"/>
    <w:rsid w:val="003F388F"/>
    <w:rsid w:val="003F7F3F"/>
    <w:rsid w:val="00401547"/>
    <w:rsid w:val="00404DB4"/>
    <w:rsid w:val="0040667B"/>
    <w:rsid w:val="00406D46"/>
    <w:rsid w:val="00410E23"/>
    <w:rsid w:val="0042238A"/>
    <w:rsid w:val="004277FB"/>
    <w:rsid w:val="00434915"/>
    <w:rsid w:val="0044353A"/>
    <w:rsid w:val="00443C3B"/>
    <w:rsid w:val="00444D7C"/>
    <w:rsid w:val="00445D40"/>
    <w:rsid w:val="0045207A"/>
    <w:rsid w:val="004618CF"/>
    <w:rsid w:val="004708BB"/>
    <w:rsid w:val="00475D56"/>
    <w:rsid w:val="004834EE"/>
    <w:rsid w:val="00484769"/>
    <w:rsid w:val="004915BA"/>
    <w:rsid w:val="00491CBD"/>
    <w:rsid w:val="004921ED"/>
    <w:rsid w:val="0049431F"/>
    <w:rsid w:val="0049616F"/>
    <w:rsid w:val="00496E6F"/>
    <w:rsid w:val="004B56CF"/>
    <w:rsid w:val="004B6B13"/>
    <w:rsid w:val="004B755A"/>
    <w:rsid w:val="004B7E99"/>
    <w:rsid w:val="004C0F87"/>
    <w:rsid w:val="004C21ED"/>
    <w:rsid w:val="004C321F"/>
    <w:rsid w:val="004C3BED"/>
    <w:rsid w:val="004D4816"/>
    <w:rsid w:val="004F49BF"/>
    <w:rsid w:val="004F6155"/>
    <w:rsid w:val="005002B2"/>
    <w:rsid w:val="00512AC5"/>
    <w:rsid w:val="00522D76"/>
    <w:rsid w:val="005318BC"/>
    <w:rsid w:val="005350D0"/>
    <w:rsid w:val="00535444"/>
    <w:rsid w:val="00536859"/>
    <w:rsid w:val="0053758D"/>
    <w:rsid w:val="0054294B"/>
    <w:rsid w:val="00543A26"/>
    <w:rsid w:val="00545B87"/>
    <w:rsid w:val="005464B6"/>
    <w:rsid w:val="00546594"/>
    <w:rsid w:val="005547D0"/>
    <w:rsid w:val="005561A6"/>
    <w:rsid w:val="005568C8"/>
    <w:rsid w:val="00561110"/>
    <w:rsid w:val="00564872"/>
    <w:rsid w:val="0057189A"/>
    <w:rsid w:val="00580227"/>
    <w:rsid w:val="005807D3"/>
    <w:rsid w:val="005869D4"/>
    <w:rsid w:val="005A2C49"/>
    <w:rsid w:val="005A3F13"/>
    <w:rsid w:val="005B2418"/>
    <w:rsid w:val="005B312B"/>
    <w:rsid w:val="005B6020"/>
    <w:rsid w:val="005C5249"/>
    <w:rsid w:val="005C7643"/>
    <w:rsid w:val="00602E2B"/>
    <w:rsid w:val="00615875"/>
    <w:rsid w:val="006218A0"/>
    <w:rsid w:val="00621E7E"/>
    <w:rsid w:val="006324A6"/>
    <w:rsid w:val="00634BE8"/>
    <w:rsid w:val="006414EF"/>
    <w:rsid w:val="00643B13"/>
    <w:rsid w:val="00656245"/>
    <w:rsid w:val="00661EE1"/>
    <w:rsid w:val="00667378"/>
    <w:rsid w:val="006703CB"/>
    <w:rsid w:val="00670E25"/>
    <w:rsid w:val="0067427D"/>
    <w:rsid w:val="00677FE9"/>
    <w:rsid w:val="00681C03"/>
    <w:rsid w:val="006A1F80"/>
    <w:rsid w:val="006A4A21"/>
    <w:rsid w:val="006A5B8C"/>
    <w:rsid w:val="006B5251"/>
    <w:rsid w:val="006B7AD0"/>
    <w:rsid w:val="006C007D"/>
    <w:rsid w:val="006C11A0"/>
    <w:rsid w:val="006C1481"/>
    <w:rsid w:val="006C1BBB"/>
    <w:rsid w:val="006C2937"/>
    <w:rsid w:val="006F709B"/>
    <w:rsid w:val="00702C88"/>
    <w:rsid w:val="00711C37"/>
    <w:rsid w:val="0071405F"/>
    <w:rsid w:val="0072118C"/>
    <w:rsid w:val="0072503F"/>
    <w:rsid w:val="00735B9C"/>
    <w:rsid w:val="00747AA3"/>
    <w:rsid w:val="00754541"/>
    <w:rsid w:val="00754C88"/>
    <w:rsid w:val="00755EA0"/>
    <w:rsid w:val="0076228D"/>
    <w:rsid w:val="00771BBF"/>
    <w:rsid w:val="00782783"/>
    <w:rsid w:val="0079114F"/>
    <w:rsid w:val="0079415C"/>
    <w:rsid w:val="007B1847"/>
    <w:rsid w:val="007B2052"/>
    <w:rsid w:val="007C327D"/>
    <w:rsid w:val="007C3836"/>
    <w:rsid w:val="007E0F7F"/>
    <w:rsid w:val="007E348E"/>
    <w:rsid w:val="007E4AB5"/>
    <w:rsid w:val="007E51F5"/>
    <w:rsid w:val="007F1F37"/>
    <w:rsid w:val="007F426D"/>
    <w:rsid w:val="007F4D02"/>
    <w:rsid w:val="007F5035"/>
    <w:rsid w:val="008055CE"/>
    <w:rsid w:val="00830E98"/>
    <w:rsid w:val="00834CDA"/>
    <w:rsid w:val="00843A0D"/>
    <w:rsid w:val="00846BD8"/>
    <w:rsid w:val="008513B4"/>
    <w:rsid w:val="008525E4"/>
    <w:rsid w:val="00853E85"/>
    <w:rsid w:val="008549B0"/>
    <w:rsid w:val="0085525C"/>
    <w:rsid w:val="008643B6"/>
    <w:rsid w:val="0087184B"/>
    <w:rsid w:val="00876DF3"/>
    <w:rsid w:val="008829A7"/>
    <w:rsid w:val="008840C1"/>
    <w:rsid w:val="00891FA3"/>
    <w:rsid w:val="00895E7A"/>
    <w:rsid w:val="00896A66"/>
    <w:rsid w:val="008B0D81"/>
    <w:rsid w:val="008B33A9"/>
    <w:rsid w:val="008B7F6B"/>
    <w:rsid w:val="008C34CD"/>
    <w:rsid w:val="008C4E76"/>
    <w:rsid w:val="008C5091"/>
    <w:rsid w:val="008D08FA"/>
    <w:rsid w:val="008D3606"/>
    <w:rsid w:val="008D404B"/>
    <w:rsid w:val="008D7F4A"/>
    <w:rsid w:val="008E084E"/>
    <w:rsid w:val="008F4A41"/>
    <w:rsid w:val="00900C0F"/>
    <w:rsid w:val="00907125"/>
    <w:rsid w:val="00920B80"/>
    <w:rsid w:val="00933FD9"/>
    <w:rsid w:val="0093603B"/>
    <w:rsid w:val="00941A13"/>
    <w:rsid w:val="00941E93"/>
    <w:rsid w:val="0095113D"/>
    <w:rsid w:val="00952ECC"/>
    <w:rsid w:val="009727A1"/>
    <w:rsid w:val="00980B94"/>
    <w:rsid w:val="009919C9"/>
    <w:rsid w:val="0099260D"/>
    <w:rsid w:val="00994E42"/>
    <w:rsid w:val="009957B5"/>
    <w:rsid w:val="00996976"/>
    <w:rsid w:val="009A1A59"/>
    <w:rsid w:val="009A7621"/>
    <w:rsid w:val="009B5344"/>
    <w:rsid w:val="009C0588"/>
    <w:rsid w:val="009C0BE3"/>
    <w:rsid w:val="009C0FEF"/>
    <w:rsid w:val="009C7207"/>
    <w:rsid w:val="009C7F63"/>
    <w:rsid w:val="009D161C"/>
    <w:rsid w:val="009D217A"/>
    <w:rsid w:val="009D2978"/>
    <w:rsid w:val="009D4E3E"/>
    <w:rsid w:val="009D6192"/>
    <w:rsid w:val="009D7F38"/>
    <w:rsid w:val="009F1893"/>
    <w:rsid w:val="00A009EF"/>
    <w:rsid w:val="00A030FB"/>
    <w:rsid w:val="00A061E9"/>
    <w:rsid w:val="00A06966"/>
    <w:rsid w:val="00A16B6F"/>
    <w:rsid w:val="00A257A4"/>
    <w:rsid w:val="00A50F09"/>
    <w:rsid w:val="00A52173"/>
    <w:rsid w:val="00A601D5"/>
    <w:rsid w:val="00A61D0E"/>
    <w:rsid w:val="00A62612"/>
    <w:rsid w:val="00A67D33"/>
    <w:rsid w:val="00A70B5C"/>
    <w:rsid w:val="00A74FD9"/>
    <w:rsid w:val="00A75849"/>
    <w:rsid w:val="00A80D30"/>
    <w:rsid w:val="00A87B79"/>
    <w:rsid w:val="00A94626"/>
    <w:rsid w:val="00A97460"/>
    <w:rsid w:val="00A97965"/>
    <w:rsid w:val="00AA0982"/>
    <w:rsid w:val="00AA20DD"/>
    <w:rsid w:val="00AC127A"/>
    <w:rsid w:val="00AC2CCF"/>
    <w:rsid w:val="00AC7286"/>
    <w:rsid w:val="00AD61F4"/>
    <w:rsid w:val="00AE0F56"/>
    <w:rsid w:val="00AE20B4"/>
    <w:rsid w:val="00AE5D22"/>
    <w:rsid w:val="00B01DF9"/>
    <w:rsid w:val="00B02C4E"/>
    <w:rsid w:val="00B059E8"/>
    <w:rsid w:val="00B12361"/>
    <w:rsid w:val="00B15FDE"/>
    <w:rsid w:val="00B33CA1"/>
    <w:rsid w:val="00B3429D"/>
    <w:rsid w:val="00B40EC0"/>
    <w:rsid w:val="00B64580"/>
    <w:rsid w:val="00B870E2"/>
    <w:rsid w:val="00B87838"/>
    <w:rsid w:val="00B918B0"/>
    <w:rsid w:val="00B926F5"/>
    <w:rsid w:val="00BA03E3"/>
    <w:rsid w:val="00BA3456"/>
    <w:rsid w:val="00BA401C"/>
    <w:rsid w:val="00BC28B4"/>
    <w:rsid w:val="00BC7666"/>
    <w:rsid w:val="00BD1A76"/>
    <w:rsid w:val="00BD42A5"/>
    <w:rsid w:val="00BE4FB7"/>
    <w:rsid w:val="00BF0638"/>
    <w:rsid w:val="00BF23D0"/>
    <w:rsid w:val="00BF33A9"/>
    <w:rsid w:val="00C02DBF"/>
    <w:rsid w:val="00C077C0"/>
    <w:rsid w:val="00C15197"/>
    <w:rsid w:val="00C207F7"/>
    <w:rsid w:val="00C24F14"/>
    <w:rsid w:val="00C2653A"/>
    <w:rsid w:val="00C266A6"/>
    <w:rsid w:val="00C27855"/>
    <w:rsid w:val="00C30D9A"/>
    <w:rsid w:val="00C3705D"/>
    <w:rsid w:val="00C37273"/>
    <w:rsid w:val="00C43F25"/>
    <w:rsid w:val="00C4714C"/>
    <w:rsid w:val="00C52889"/>
    <w:rsid w:val="00C5453E"/>
    <w:rsid w:val="00C64831"/>
    <w:rsid w:val="00C705DE"/>
    <w:rsid w:val="00C75ED6"/>
    <w:rsid w:val="00C772D6"/>
    <w:rsid w:val="00C87BD1"/>
    <w:rsid w:val="00C92269"/>
    <w:rsid w:val="00C93837"/>
    <w:rsid w:val="00C962E5"/>
    <w:rsid w:val="00C96B4A"/>
    <w:rsid w:val="00CA1171"/>
    <w:rsid w:val="00CB083D"/>
    <w:rsid w:val="00CB6BD8"/>
    <w:rsid w:val="00CC1103"/>
    <w:rsid w:val="00CC3C6B"/>
    <w:rsid w:val="00CC5C39"/>
    <w:rsid w:val="00CD115B"/>
    <w:rsid w:val="00CD3EDB"/>
    <w:rsid w:val="00CD5B6B"/>
    <w:rsid w:val="00CE1F2E"/>
    <w:rsid w:val="00CE358D"/>
    <w:rsid w:val="00CE50EE"/>
    <w:rsid w:val="00CE7674"/>
    <w:rsid w:val="00CF6359"/>
    <w:rsid w:val="00CF714B"/>
    <w:rsid w:val="00CF71C7"/>
    <w:rsid w:val="00D05B8C"/>
    <w:rsid w:val="00D06F97"/>
    <w:rsid w:val="00D136BF"/>
    <w:rsid w:val="00D209DF"/>
    <w:rsid w:val="00D220B5"/>
    <w:rsid w:val="00D25A4B"/>
    <w:rsid w:val="00D300DF"/>
    <w:rsid w:val="00D314D5"/>
    <w:rsid w:val="00D32D5E"/>
    <w:rsid w:val="00D42202"/>
    <w:rsid w:val="00D461EA"/>
    <w:rsid w:val="00D47CF4"/>
    <w:rsid w:val="00D5111A"/>
    <w:rsid w:val="00D53AED"/>
    <w:rsid w:val="00D5597E"/>
    <w:rsid w:val="00D57431"/>
    <w:rsid w:val="00D674BB"/>
    <w:rsid w:val="00D8087B"/>
    <w:rsid w:val="00D82CB7"/>
    <w:rsid w:val="00D90B95"/>
    <w:rsid w:val="00D969A2"/>
    <w:rsid w:val="00DB0D66"/>
    <w:rsid w:val="00DE1B85"/>
    <w:rsid w:val="00DF584F"/>
    <w:rsid w:val="00E056C2"/>
    <w:rsid w:val="00E117AE"/>
    <w:rsid w:val="00E133AD"/>
    <w:rsid w:val="00E17BD3"/>
    <w:rsid w:val="00E22B8B"/>
    <w:rsid w:val="00E25A9D"/>
    <w:rsid w:val="00E25E9E"/>
    <w:rsid w:val="00E276CD"/>
    <w:rsid w:val="00E32985"/>
    <w:rsid w:val="00E3645A"/>
    <w:rsid w:val="00E40A03"/>
    <w:rsid w:val="00E412C6"/>
    <w:rsid w:val="00E527DA"/>
    <w:rsid w:val="00E74A25"/>
    <w:rsid w:val="00E77256"/>
    <w:rsid w:val="00E867F7"/>
    <w:rsid w:val="00E96FC4"/>
    <w:rsid w:val="00EA2BCB"/>
    <w:rsid w:val="00EA52AD"/>
    <w:rsid w:val="00EB1E5C"/>
    <w:rsid w:val="00EC3F9D"/>
    <w:rsid w:val="00EC5BF6"/>
    <w:rsid w:val="00ED7DD6"/>
    <w:rsid w:val="00EF35AD"/>
    <w:rsid w:val="00F00E2D"/>
    <w:rsid w:val="00F018CA"/>
    <w:rsid w:val="00F01F6C"/>
    <w:rsid w:val="00F04DB5"/>
    <w:rsid w:val="00F15029"/>
    <w:rsid w:val="00F15C04"/>
    <w:rsid w:val="00F226AA"/>
    <w:rsid w:val="00F2663D"/>
    <w:rsid w:val="00F272AE"/>
    <w:rsid w:val="00F300E3"/>
    <w:rsid w:val="00F32436"/>
    <w:rsid w:val="00F32523"/>
    <w:rsid w:val="00F32C0E"/>
    <w:rsid w:val="00F35A07"/>
    <w:rsid w:val="00F4765E"/>
    <w:rsid w:val="00F61F09"/>
    <w:rsid w:val="00F645DF"/>
    <w:rsid w:val="00F65FB7"/>
    <w:rsid w:val="00F67E26"/>
    <w:rsid w:val="00F71E4C"/>
    <w:rsid w:val="00F74A4B"/>
    <w:rsid w:val="00F810E7"/>
    <w:rsid w:val="00F92194"/>
    <w:rsid w:val="00F92E58"/>
    <w:rsid w:val="00FA0927"/>
    <w:rsid w:val="00FA101F"/>
    <w:rsid w:val="00FA2990"/>
    <w:rsid w:val="00FC4FA1"/>
    <w:rsid w:val="00FD43EB"/>
    <w:rsid w:val="00FD765C"/>
    <w:rsid w:val="00FE2ABB"/>
    <w:rsid w:val="00FE4AB7"/>
    <w:rsid w:val="00FE62EB"/>
    <w:rsid w:val="00FE780E"/>
    <w:rsid w:val="00FF1DAD"/>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30E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30E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character" w:customStyle="1" w:styleId="Titre2Car">
    <w:name w:val="Titre 2 Car"/>
    <w:basedOn w:val="Policepardfaut"/>
    <w:link w:val="Titre2"/>
    <w:uiPriority w:val="9"/>
    <w:rsid w:val="00830E98"/>
    <w:rPr>
      <w:rFonts w:asciiTheme="majorHAnsi" w:eastAsiaTheme="majorEastAsia" w:hAnsiTheme="majorHAnsi" w:cstheme="majorBidi"/>
      <w:color w:val="2E74B5" w:themeColor="accent1" w:themeShade="BF"/>
      <w:sz w:val="26"/>
      <w:szCs w:val="26"/>
    </w:rPr>
  </w:style>
  <w:style w:type="character" w:styleId="Appelnotedebasdep">
    <w:name w:val="footnote reference"/>
    <w:basedOn w:val="Policepardfaut"/>
    <w:uiPriority w:val="99"/>
    <w:semiHidden/>
    <w:unhideWhenUsed/>
    <w:rsid w:val="00830E98"/>
    <w:rPr>
      <w:vertAlign w:val="superscript"/>
    </w:rPr>
  </w:style>
  <w:style w:type="paragraph" w:styleId="Notedebasdepage">
    <w:name w:val="footnote text"/>
    <w:basedOn w:val="Normal"/>
    <w:link w:val="NotedebasdepageCar"/>
    <w:uiPriority w:val="99"/>
    <w:semiHidden/>
    <w:unhideWhenUsed/>
    <w:rsid w:val="00830E9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30E98"/>
    <w:rPr>
      <w:sz w:val="20"/>
      <w:szCs w:val="20"/>
    </w:rPr>
  </w:style>
  <w:style w:type="character" w:customStyle="1" w:styleId="Titre1Car">
    <w:name w:val="Titre 1 Car"/>
    <w:basedOn w:val="Policepardfaut"/>
    <w:link w:val="Titre1"/>
    <w:uiPriority w:val="9"/>
    <w:rsid w:val="00830E98"/>
    <w:rPr>
      <w:rFonts w:asciiTheme="majorHAnsi" w:eastAsiaTheme="majorEastAsia" w:hAnsiTheme="majorHAnsi" w:cstheme="majorBidi"/>
      <w:color w:val="2E74B5" w:themeColor="accent1" w:themeShade="BF"/>
      <w:sz w:val="32"/>
      <w:szCs w:val="32"/>
    </w:rPr>
  </w:style>
  <w:style w:type="paragraph" w:customStyle="1" w:styleId="Style2">
    <w:name w:val="Style2"/>
    <w:basedOn w:val="Normal"/>
    <w:link w:val="Style2Car"/>
    <w:qFormat/>
    <w:rsid w:val="00CB083D"/>
    <w:pPr>
      <w:spacing w:after="0"/>
      <w:jc w:val="both"/>
    </w:pPr>
    <w:rPr>
      <w:rFonts w:ascii="Arial" w:hAnsi="Arial" w:cs="Arial"/>
      <w:b/>
      <w:u w:val="single"/>
    </w:rPr>
  </w:style>
  <w:style w:type="character" w:customStyle="1" w:styleId="Style2Car">
    <w:name w:val="Style2 Car"/>
    <w:basedOn w:val="Policepardfaut"/>
    <w:link w:val="Style2"/>
    <w:rsid w:val="00CB083D"/>
    <w:rPr>
      <w:rFonts w:ascii="Arial" w:hAnsi="Arial" w:cs="Arial"/>
      <w:b/>
      <w:u w:val="single"/>
    </w:rPr>
  </w:style>
  <w:style w:type="paragraph" w:styleId="Sansinterligne">
    <w:name w:val="No Spacing"/>
    <w:uiPriority w:val="99"/>
    <w:qFormat/>
    <w:rsid w:val="00CB083D"/>
    <w:pPr>
      <w:spacing w:after="0" w:line="240" w:lineRule="auto"/>
    </w:pPr>
  </w:style>
  <w:style w:type="character" w:styleId="lev">
    <w:name w:val="Strong"/>
    <w:basedOn w:val="Policepardfaut"/>
    <w:uiPriority w:val="22"/>
    <w:qFormat/>
    <w:rsid w:val="00CB083D"/>
    <w:rPr>
      <w:rFonts w:cs="Times New Roman"/>
      <w:b/>
      <w:bCs/>
    </w:rPr>
  </w:style>
  <w:style w:type="paragraph" w:styleId="Retraitcorpsdetexte">
    <w:name w:val="Body Text Indent"/>
    <w:basedOn w:val="Normal"/>
    <w:link w:val="RetraitcorpsdetexteCar"/>
    <w:rsid w:val="00CB083D"/>
    <w:pPr>
      <w:suppressAutoHyphens/>
      <w:spacing w:after="0" w:line="240" w:lineRule="auto"/>
      <w:ind w:left="360"/>
    </w:pPr>
    <w:rPr>
      <w:rFonts w:ascii="Arial" w:eastAsia="Times New Roman" w:hAnsi="Arial" w:cs="Arial"/>
      <w:szCs w:val="24"/>
      <w:lang w:eastAsia="zh-CN"/>
    </w:rPr>
  </w:style>
  <w:style w:type="character" w:customStyle="1" w:styleId="RetraitcorpsdetexteCar">
    <w:name w:val="Retrait corps de texte Car"/>
    <w:basedOn w:val="Policepardfaut"/>
    <w:link w:val="Retraitcorpsdetexte"/>
    <w:rsid w:val="00CB083D"/>
    <w:rPr>
      <w:rFonts w:ascii="Arial" w:eastAsia="Times New Roman" w:hAnsi="Arial" w:cs="Arial"/>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40023053">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ynergie-europe.fr/e_synergie/portail/SUD"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enseignementsup-recherche.gouv.fr/cid49705/etablissements-enseignement-superieur-recherche.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ampa@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2.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4B0EC-1BE0-4C07-951D-8C9616EBE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15</Pages>
  <Words>6171</Words>
  <Characters>33945</Characters>
  <Application>Microsoft Office Word</Application>
  <DocSecurity>0</DocSecurity>
  <Lines>282</Lines>
  <Paragraphs>80</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40036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ESCAFFRE Laurent</cp:lastModifiedBy>
  <cp:revision>17</cp:revision>
  <cp:lastPrinted>2024-02-28T13:57:00Z</cp:lastPrinted>
  <dcterms:created xsi:type="dcterms:W3CDTF">2024-03-26T08:25:00Z</dcterms:created>
  <dcterms:modified xsi:type="dcterms:W3CDTF">2024-03-29T12:18:00Z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