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9A0" w:rsidRDefault="00F729A0" w:rsidP="0022794D">
      <w:pPr>
        <w:jc w:val="center"/>
        <w:rPr>
          <w:rFonts w:ascii="Arial" w:hAnsi="Arial" w:cs="Arial"/>
          <w:b/>
          <w:sz w:val="28"/>
          <w:szCs w:val="28"/>
          <w:u w:val="single"/>
        </w:rPr>
      </w:pPr>
      <w:r>
        <w:rPr>
          <w:rFonts w:ascii="Avenir LT Std 65 Medium" w:hAnsi="Avenir LT Std 65 Medium"/>
          <w:b/>
          <w:noProof/>
          <w:color w:val="0C4EA2"/>
          <w:sz w:val="32"/>
          <w:szCs w:val="32"/>
        </w:rPr>
        <w:drawing>
          <wp:anchor distT="0" distB="0" distL="114300" distR="114300" simplePos="0" relativeHeight="251659264" behindDoc="1" locked="0" layoutInCell="1" allowOverlap="1" wp14:anchorId="74A574D9" wp14:editId="0A809375">
            <wp:simplePos x="0" y="0"/>
            <wp:positionH relativeFrom="column">
              <wp:posOffset>0</wp:posOffset>
            </wp:positionH>
            <wp:positionV relativeFrom="paragraph">
              <wp:posOffset>0</wp:posOffset>
            </wp:positionV>
            <wp:extent cx="2514600" cy="933416"/>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4600" cy="933416"/>
                    </a:xfrm>
                    <a:prstGeom prst="rect">
                      <a:avLst/>
                    </a:prstGeom>
                    <a:noFill/>
                  </pic:spPr>
                </pic:pic>
              </a:graphicData>
            </a:graphic>
            <wp14:sizeRelH relativeFrom="margin">
              <wp14:pctWidth>0</wp14:pctWidth>
            </wp14:sizeRelH>
            <wp14:sizeRelV relativeFrom="margin">
              <wp14:pctHeight>0</wp14:pctHeight>
            </wp14:sizeRelV>
          </wp:anchor>
        </w:drawing>
      </w:r>
    </w:p>
    <w:p w:rsidR="00F729A0" w:rsidRDefault="00F729A0" w:rsidP="0022794D">
      <w:pPr>
        <w:jc w:val="center"/>
        <w:rPr>
          <w:rFonts w:ascii="Arial" w:hAnsi="Arial" w:cs="Arial"/>
          <w:b/>
          <w:sz w:val="28"/>
          <w:szCs w:val="28"/>
          <w:u w:val="single"/>
        </w:rPr>
      </w:pPr>
    </w:p>
    <w:p w:rsidR="00F729A0" w:rsidRDefault="00F729A0" w:rsidP="0022794D">
      <w:pPr>
        <w:jc w:val="center"/>
        <w:rPr>
          <w:rFonts w:ascii="Arial" w:hAnsi="Arial" w:cs="Arial"/>
          <w:b/>
          <w:sz w:val="28"/>
          <w:szCs w:val="28"/>
          <w:u w:val="single"/>
        </w:rPr>
      </w:pPr>
    </w:p>
    <w:p w:rsidR="00F729A0" w:rsidRDefault="00F729A0" w:rsidP="0022794D">
      <w:pPr>
        <w:jc w:val="center"/>
        <w:rPr>
          <w:rFonts w:ascii="Arial" w:hAnsi="Arial" w:cs="Arial"/>
          <w:b/>
          <w:sz w:val="28"/>
          <w:szCs w:val="28"/>
          <w:u w:val="single"/>
        </w:rPr>
      </w:pPr>
    </w:p>
    <w:p w:rsidR="00F729A0" w:rsidRDefault="00F729A0" w:rsidP="0022794D">
      <w:pPr>
        <w:jc w:val="center"/>
        <w:rPr>
          <w:rFonts w:ascii="Arial" w:hAnsi="Arial" w:cs="Arial"/>
          <w:b/>
          <w:sz w:val="28"/>
          <w:szCs w:val="28"/>
          <w:u w:val="single"/>
        </w:rPr>
      </w:pPr>
    </w:p>
    <w:p w:rsidR="00C74CF1" w:rsidRDefault="00C74CF1" w:rsidP="0022794D">
      <w:pPr>
        <w:jc w:val="center"/>
        <w:rPr>
          <w:rFonts w:ascii="Arial" w:hAnsi="Arial" w:cs="Arial"/>
          <w:b/>
          <w:sz w:val="22"/>
          <w:szCs w:val="22"/>
        </w:rPr>
      </w:pPr>
    </w:p>
    <w:p w:rsidR="00F729A0" w:rsidRPr="0005728A" w:rsidRDefault="00F729A0" w:rsidP="00F729A0">
      <w:pPr>
        <w:pStyle w:val="Titre1"/>
        <w:numPr>
          <w:ilvl w:val="0"/>
          <w:numId w:val="0"/>
        </w:numPr>
        <w:ind w:left="432"/>
        <w:rPr>
          <w:rFonts w:ascii="Avenir LT Std 65 Medium" w:hAnsi="Avenir LT Std 65 Medium"/>
          <w:color w:val="0C4EA2"/>
        </w:rPr>
      </w:pPr>
      <w:r w:rsidRPr="0005728A">
        <w:rPr>
          <w:rFonts w:ascii="Avenir LT Std 65 Medium" w:hAnsi="Avenir LT Std 65 Medium"/>
          <w:color w:val="0C4EA2"/>
        </w:rPr>
        <w:t xml:space="preserve">le </w:t>
      </w:r>
      <w:r w:rsidR="0005728A" w:rsidRPr="0005728A">
        <w:rPr>
          <w:rFonts w:ascii="Avenir LT Std 65 Medium" w:hAnsi="Avenir LT Std 65 Medium"/>
          <w:color w:val="0C4EA2"/>
        </w:rPr>
        <w:t>financement pub</w:t>
      </w:r>
      <w:r w:rsidR="0014346B">
        <w:rPr>
          <w:rFonts w:ascii="Avenir LT Std 65 Medium" w:hAnsi="Avenir LT Std 65 Medium"/>
          <w:color w:val="0C4EA2"/>
        </w:rPr>
        <w:t>L</w:t>
      </w:r>
      <w:r w:rsidR="0005728A" w:rsidRPr="0005728A">
        <w:rPr>
          <w:rFonts w:ascii="Avenir LT Std 65 Medium" w:hAnsi="Avenir LT Std 65 Medium"/>
          <w:color w:val="0C4EA2"/>
        </w:rPr>
        <w:t>ic des infrastructures de recherche</w:t>
      </w:r>
    </w:p>
    <w:p w:rsidR="00A10940" w:rsidRPr="00C74CF1" w:rsidRDefault="00A10940" w:rsidP="0022794D">
      <w:pPr>
        <w:jc w:val="center"/>
        <w:rPr>
          <w:rFonts w:ascii="Arial" w:hAnsi="Arial" w:cs="Arial"/>
          <w:b/>
          <w:sz w:val="22"/>
          <w:szCs w:val="22"/>
        </w:rPr>
      </w:pPr>
    </w:p>
    <w:p w:rsidR="00C74CF1" w:rsidRPr="0005728A" w:rsidRDefault="00C74CF1" w:rsidP="0005728A">
      <w:pPr>
        <w:pStyle w:val="Titre1"/>
        <w:numPr>
          <w:ilvl w:val="0"/>
          <w:numId w:val="0"/>
        </w:numPr>
        <w:pBdr>
          <w:top w:val="none" w:sz="0" w:space="0" w:color="auto"/>
          <w:left w:val="none" w:sz="0" w:space="0" w:color="auto"/>
          <w:bottom w:val="none" w:sz="0" w:space="0" w:color="auto"/>
          <w:right w:val="none" w:sz="0" w:space="0" w:color="auto"/>
        </w:pBdr>
        <w:ind w:left="432" w:hanging="432"/>
        <w:rPr>
          <w:rFonts w:ascii="Avenir LT Std 65 Medium" w:hAnsi="Avenir LT Std 65 Medium"/>
          <w:color w:val="0C4EA2"/>
        </w:rPr>
      </w:pPr>
      <w:r w:rsidRPr="0005728A">
        <w:rPr>
          <w:rFonts w:ascii="Avenir LT Std 65 Medium" w:hAnsi="Avenir LT Std 65 Medium"/>
          <w:color w:val="0C4EA2"/>
        </w:rPr>
        <w:t>Références juridique</w:t>
      </w:r>
    </w:p>
    <w:p w:rsidR="00F35A16" w:rsidRPr="00C74CF1" w:rsidRDefault="00C74CF1" w:rsidP="00C74CF1">
      <w:pPr>
        <w:rPr>
          <w:rFonts w:ascii="Arial" w:hAnsi="Arial" w:cs="Arial"/>
          <w:sz w:val="22"/>
          <w:szCs w:val="22"/>
        </w:rPr>
      </w:pPr>
      <w:r w:rsidRPr="00A86538">
        <w:rPr>
          <w:rFonts w:ascii="Arial" w:hAnsi="Arial" w:cs="Arial"/>
          <w:b/>
          <w:sz w:val="22"/>
          <w:szCs w:val="22"/>
        </w:rPr>
        <w:t>Règlement UE n°651/2014</w:t>
      </w:r>
      <w:r w:rsidRPr="006459B8">
        <w:rPr>
          <w:rFonts w:ascii="Arial" w:hAnsi="Arial" w:cs="Arial"/>
          <w:sz w:val="22"/>
          <w:szCs w:val="22"/>
        </w:rPr>
        <w:t xml:space="preserve"> </w:t>
      </w:r>
      <w:r>
        <w:rPr>
          <w:rFonts w:ascii="Arial" w:hAnsi="Arial" w:cs="Arial"/>
          <w:sz w:val="22"/>
          <w:szCs w:val="22"/>
        </w:rPr>
        <w:t>Général d’Exemption par Catégories (</w:t>
      </w:r>
      <w:r w:rsidRPr="006459B8">
        <w:rPr>
          <w:rFonts w:ascii="Arial" w:hAnsi="Arial" w:cs="Arial"/>
          <w:sz w:val="22"/>
          <w:szCs w:val="22"/>
        </w:rPr>
        <w:t>RGEC</w:t>
      </w:r>
      <w:r>
        <w:rPr>
          <w:rFonts w:ascii="Arial" w:hAnsi="Arial" w:cs="Arial"/>
          <w:sz w:val="22"/>
          <w:szCs w:val="22"/>
        </w:rPr>
        <w:t>)</w:t>
      </w:r>
      <w:r w:rsidRPr="006459B8">
        <w:rPr>
          <w:rFonts w:ascii="Arial" w:hAnsi="Arial" w:cs="Arial"/>
          <w:sz w:val="22"/>
          <w:szCs w:val="22"/>
        </w:rPr>
        <w:t xml:space="preserve"> </w:t>
      </w:r>
      <w:r w:rsidR="00DA3E8B" w:rsidRPr="00C74CF1">
        <w:rPr>
          <w:rFonts w:ascii="Arial" w:hAnsi="Arial" w:cs="Arial"/>
          <w:sz w:val="22"/>
          <w:szCs w:val="22"/>
        </w:rPr>
        <w:t xml:space="preserve">introduit les aides aux infrastructures de recherche </w:t>
      </w:r>
      <w:r w:rsidRPr="00C74CF1">
        <w:rPr>
          <w:rFonts w:ascii="Arial" w:hAnsi="Arial" w:cs="Arial"/>
          <w:sz w:val="22"/>
          <w:szCs w:val="22"/>
        </w:rPr>
        <w:t>(article 26)</w:t>
      </w:r>
      <w:r>
        <w:rPr>
          <w:rFonts w:ascii="Arial" w:hAnsi="Arial" w:cs="Arial"/>
          <w:sz w:val="22"/>
          <w:szCs w:val="22"/>
        </w:rPr>
        <w:t xml:space="preserve">. Le règlement </w:t>
      </w:r>
      <w:r w:rsidR="00DA3E8B" w:rsidRPr="00C74CF1">
        <w:rPr>
          <w:rFonts w:ascii="Arial" w:hAnsi="Arial" w:cs="Arial"/>
          <w:sz w:val="22"/>
          <w:szCs w:val="22"/>
        </w:rPr>
        <w:t xml:space="preserve">prévoit, en cas d’utilisation mixte et </w:t>
      </w:r>
      <w:r w:rsidR="00DA3E8B" w:rsidRPr="00C74CF1">
        <w:rPr>
          <w:rFonts w:ascii="Arial" w:hAnsi="Arial" w:cs="Arial"/>
          <w:sz w:val="22"/>
          <w:szCs w:val="22"/>
          <w:u w:val="single"/>
        </w:rPr>
        <w:t xml:space="preserve">sous conditions, </w:t>
      </w:r>
      <w:r>
        <w:rPr>
          <w:rFonts w:ascii="Arial" w:hAnsi="Arial" w:cs="Arial"/>
          <w:sz w:val="22"/>
          <w:szCs w:val="22"/>
        </w:rPr>
        <w:t xml:space="preserve">que les </w:t>
      </w:r>
      <w:r w:rsidRPr="00C74CF1">
        <w:rPr>
          <w:rFonts w:ascii="Arial" w:hAnsi="Arial" w:cs="Arial"/>
          <w:sz w:val="22"/>
          <w:szCs w:val="22"/>
        </w:rPr>
        <w:t xml:space="preserve">infrastructures de recherche </w:t>
      </w:r>
      <w:r w:rsidR="00DA3E8B" w:rsidRPr="00C74CF1">
        <w:rPr>
          <w:rFonts w:ascii="Arial" w:hAnsi="Arial" w:cs="Arial"/>
          <w:sz w:val="22"/>
          <w:szCs w:val="22"/>
        </w:rPr>
        <w:t>peuvent bénéficier de financement public en dehors de la règlementation des aides d’Etat (</w:t>
      </w:r>
      <w:r w:rsidR="00936261">
        <w:rPr>
          <w:rFonts w:ascii="Arial" w:hAnsi="Arial" w:cs="Arial"/>
          <w:sz w:val="22"/>
          <w:szCs w:val="22"/>
        </w:rPr>
        <w:t xml:space="preserve">art 26 et </w:t>
      </w:r>
      <w:r w:rsidR="00DA3E8B" w:rsidRPr="00C74CF1">
        <w:rPr>
          <w:rFonts w:ascii="Arial" w:hAnsi="Arial" w:cs="Arial"/>
          <w:sz w:val="22"/>
          <w:szCs w:val="22"/>
        </w:rPr>
        <w:t>considérant 49);</w:t>
      </w:r>
    </w:p>
    <w:p w:rsidR="00C74CF1" w:rsidRDefault="00C74CF1" w:rsidP="00C74CF1">
      <w:pPr>
        <w:rPr>
          <w:rFonts w:ascii="Arial" w:hAnsi="Arial" w:cs="Arial"/>
          <w:sz w:val="22"/>
          <w:szCs w:val="22"/>
        </w:rPr>
      </w:pPr>
    </w:p>
    <w:p w:rsidR="00C74CF1" w:rsidRPr="00C74CF1" w:rsidRDefault="00C74CF1" w:rsidP="00C74CF1">
      <w:pPr>
        <w:rPr>
          <w:rFonts w:ascii="Arial" w:hAnsi="Arial" w:cs="Arial"/>
          <w:sz w:val="22"/>
          <w:szCs w:val="22"/>
        </w:rPr>
      </w:pPr>
      <w:r w:rsidRPr="00A86538">
        <w:rPr>
          <w:rFonts w:ascii="Arial" w:hAnsi="Arial" w:cs="Arial"/>
          <w:b/>
          <w:sz w:val="22"/>
          <w:szCs w:val="22"/>
        </w:rPr>
        <w:t xml:space="preserve">Régime cadre </w:t>
      </w:r>
      <w:r w:rsidR="00DA418C" w:rsidRPr="00A86538">
        <w:rPr>
          <w:rFonts w:ascii="Arial" w:hAnsi="Arial" w:cs="Arial"/>
          <w:b/>
          <w:sz w:val="22"/>
          <w:szCs w:val="22"/>
        </w:rPr>
        <w:t>n°SA.40391</w:t>
      </w:r>
      <w:r w:rsidR="00DA418C">
        <w:rPr>
          <w:rFonts w:ascii="Arial" w:hAnsi="Arial" w:cs="Arial"/>
          <w:sz w:val="22"/>
          <w:szCs w:val="22"/>
        </w:rPr>
        <w:t xml:space="preserve"> </w:t>
      </w:r>
      <w:r w:rsidR="00DA418C" w:rsidRPr="00DA418C">
        <w:rPr>
          <w:rFonts w:ascii="Arial" w:hAnsi="Arial" w:cs="Arial"/>
          <w:sz w:val="22"/>
          <w:szCs w:val="22"/>
        </w:rPr>
        <w:t>exempté</w:t>
      </w:r>
      <w:r w:rsidRPr="00DA418C">
        <w:rPr>
          <w:rFonts w:ascii="Arial" w:hAnsi="Arial" w:cs="Arial"/>
          <w:sz w:val="22"/>
          <w:szCs w:val="22"/>
        </w:rPr>
        <w:t xml:space="preserve"> de notification </w:t>
      </w:r>
      <w:r w:rsidR="00DA418C" w:rsidRPr="00DA418C">
        <w:rPr>
          <w:rFonts w:ascii="Arial" w:hAnsi="Arial" w:cs="Arial"/>
          <w:sz w:val="22"/>
          <w:szCs w:val="22"/>
        </w:rPr>
        <w:t xml:space="preserve">des aides en faveur de la recherche, du développement et de l’innovation. </w:t>
      </w:r>
      <w:r>
        <w:rPr>
          <w:rFonts w:ascii="Arial" w:hAnsi="Arial" w:cs="Arial"/>
          <w:sz w:val="22"/>
          <w:szCs w:val="22"/>
        </w:rPr>
        <w:t>Le régime cadre</w:t>
      </w:r>
      <w:r w:rsidRPr="00C74CF1">
        <w:rPr>
          <w:rFonts w:ascii="Arial" w:hAnsi="Arial" w:cs="Arial"/>
          <w:sz w:val="22"/>
          <w:szCs w:val="22"/>
        </w:rPr>
        <w:t xml:space="preserve"> transpose les dispositions communautaire (point 5.2.2 et Annexe V) ; </w:t>
      </w:r>
    </w:p>
    <w:p w:rsidR="00C74CF1" w:rsidRPr="00C74CF1" w:rsidRDefault="00C74CF1" w:rsidP="00C74CF1">
      <w:pPr>
        <w:rPr>
          <w:rFonts w:ascii="Arial" w:hAnsi="Arial" w:cs="Arial"/>
          <w:sz w:val="22"/>
          <w:szCs w:val="22"/>
        </w:rPr>
      </w:pPr>
    </w:p>
    <w:p w:rsidR="00F35A16" w:rsidRPr="00C74CF1" w:rsidRDefault="00C74CF1" w:rsidP="00C74CF1">
      <w:pPr>
        <w:rPr>
          <w:rFonts w:ascii="Arial" w:hAnsi="Arial" w:cs="Arial"/>
          <w:sz w:val="22"/>
          <w:szCs w:val="22"/>
        </w:rPr>
      </w:pPr>
      <w:r w:rsidRPr="00A86538">
        <w:rPr>
          <w:rFonts w:ascii="Arial" w:hAnsi="Arial" w:cs="Arial"/>
          <w:b/>
          <w:sz w:val="22"/>
          <w:szCs w:val="22"/>
        </w:rPr>
        <w:t>Communication</w:t>
      </w:r>
      <w:r w:rsidR="00DA3E8B" w:rsidRPr="00A86538">
        <w:rPr>
          <w:rFonts w:ascii="Arial" w:hAnsi="Arial" w:cs="Arial"/>
          <w:b/>
          <w:sz w:val="22"/>
          <w:szCs w:val="22"/>
        </w:rPr>
        <w:t xml:space="preserve"> </w:t>
      </w:r>
      <w:r w:rsidRPr="00A86538">
        <w:rPr>
          <w:rFonts w:ascii="Arial" w:hAnsi="Arial" w:cs="Arial"/>
          <w:b/>
          <w:sz w:val="22"/>
          <w:szCs w:val="22"/>
        </w:rPr>
        <w:t>2014/C 198/01</w:t>
      </w:r>
      <w:r w:rsidRPr="006459B8">
        <w:rPr>
          <w:rFonts w:ascii="Arial" w:hAnsi="Arial" w:cs="Arial"/>
          <w:sz w:val="22"/>
          <w:szCs w:val="22"/>
        </w:rPr>
        <w:t xml:space="preserve"> </w:t>
      </w:r>
      <w:r w:rsidR="00DA3E8B" w:rsidRPr="00C74CF1">
        <w:rPr>
          <w:rFonts w:ascii="Arial" w:hAnsi="Arial" w:cs="Arial"/>
          <w:sz w:val="22"/>
          <w:szCs w:val="22"/>
        </w:rPr>
        <w:t>su</w:t>
      </w:r>
      <w:r>
        <w:rPr>
          <w:rFonts w:ascii="Arial" w:hAnsi="Arial" w:cs="Arial"/>
          <w:sz w:val="22"/>
          <w:szCs w:val="22"/>
        </w:rPr>
        <w:t xml:space="preserve">r l’encadrement des aides à la recherche, au développement et à </w:t>
      </w:r>
      <w:r w:rsidRPr="00C74CF1">
        <w:rPr>
          <w:rFonts w:ascii="Arial" w:hAnsi="Arial" w:cs="Arial"/>
          <w:sz w:val="22"/>
          <w:szCs w:val="22"/>
        </w:rPr>
        <w:t>I</w:t>
      </w:r>
      <w:r>
        <w:rPr>
          <w:rFonts w:ascii="Arial" w:hAnsi="Arial" w:cs="Arial"/>
          <w:sz w:val="22"/>
          <w:szCs w:val="22"/>
        </w:rPr>
        <w:t xml:space="preserve"> ’innovation. La communication</w:t>
      </w:r>
      <w:r w:rsidR="00DA3E8B" w:rsidRPr="00C74CF1">
        <w:rPr>
          <w:rFonts w:ascii="Arial" w:hAnsi="Arial" w:cs="Arial"/>
          <w:sz w:val="22"/>
          <w:szCs w:val="22"/>
        </w:rPr>
        <w:t xml:space="preserve"> précise les conditions du financement public d’activités non économiques (point 2.1.1) et affine les définitions et modalités relatives à la RDI;</w:t>
      </w:r>
    </w:p>
    <w:p w:rsidR="00C74CF1" w:rsidRPr="00A86538" w:rsidRDefault="00C74CF1" w:rsidP="00C74CF1">
      <w:pPr>
        <w:rPr>
          <w:rFonts w:ascii="Arial" w:hAnsi="Arial" w:cs="Arial"/>
          <w:b/>
          <w:sz w:val="22"/>
          <w:szCs w:val="22"/>
        </w:rPr>
      </w:pPr>
    </w:p>
    <w:p w:rsidR="00F35A16" w:rsidRPr="00C74CF1" w:rsidRDefault="00C74CF1" w:rsidP="00C74CF1">
      <w:pPr>
        <w:rPr>
          <w:rFonts w:ascii="Arial" w:hAnsi="Arial" w:cs="Arial"/>
          <w:sz w:val="22"/>
          <w:szCs w:val="22"/>
        </w:rPr>
      </w:pPr>
      <w:r w:rsidRPr="00A86538">
        <w:rPr>
          <w:rFonts w:ascii="Arial" w:hAnsi="Arial" w:cs="Arial"/>
          <w:b/>
          <w:sz w:val="22"/>
          <w:szCs w:val="22"/>
        </w:rPr>
        <w:t>C</w:t>
      </w:r>
      <w:r w:rsidR="00DA3E8B" w:rsidRPr="00A86538">
        <w:rPr>
          <w:rFonts w:ascii="Arial" w:hAnsi="Arial" w:cs="Arial"/>
          <w:b/>
          <w:sz w:val="22"/>
          <w:szCs w:val="22"/>
        </w:rPr>
        <w:t xml:space="preserve">ommunication </w:t>
      </w:r>
      <w:r w:rsidR="003646FD" w:rsidRPr="00A86538">
        <w:rPr>
          <w:rFonts w:ascii="Arial" w:hAnsi="Arial" w:cs="Arial"/>
          <w:b/>
          <w:sz w:val="22"/>
          <w:szCs w:val="22"/>
          <w:shd w:val="clear" w:color="auto" w:fill="FFFFFF"/>
        </w:rPr>
        <w:t>2016/C 262/01</w:t>
      </w:r>
      <w:r w:rsidR="003646FD" w:rsidRPr="003646FD">
        <w:rPr>
          <w:sz w:val="27"/>
          <w:szCs w:val="27"/>
          <w:shd w:val="clear" w:color="auto" w:fill="FFFFFF"/>
        </w:rPr>
        <w:t xml:space="preserve"> </w:t>
      </w:r>
      <w:r w:rsidR="00DA3E8B" w:rsidRPr="00C74CF1">
        <w:rPr>
          <w:rFonts w:ascii="Arial" w:hAnsi="Arial" w:cs="Arial"/>
          <w:sz w:val="22"/>
          <w:szCs w:val="22"/>
        </w:rPr>
        <w:t>relative à la Notion d’Aide d’Etat (</w:t>
      </w:r>
      <w:proofErr w:type="spellStart"/>
      <w:r w:rsidR="00DA3E8B" w:rsidRPr="00C74CF1">
        <w:rPr>
          <w:rFonts w:ascii="Arial" w:hAnsi="Arial" w:cs="Arial"/>
          <w:sz w:val="22"/>
          <w:szCs w:val="22"/>
        </w:rPr>
        <w:t>NoA</w:t>
      </w:r>
      <w:proofErr w:type="spellEnd"/>
      <w:r w:rsidR="00DA3E8B" w:rsidRPr="00C74CF1">
        <w:rPr>
          <w:rFonts w:ascii="Arial" w:hAnsi="Arial" w:cs="Arial"/>
          <w:sz w:val="22"/>
          <w:szCs w:val="22"/>
        </w:rPr>
        <w:t>)</w:t>
      </w:r>
      <w:r>
        <w:rPr>
          <w:rFonts w:ascii="Arial" w:hAnsi="Arial" w:cs="Arial"/>
          <w:sz w:val="22"/>
          <w:szCs w:val="22"/>
        </w:rPr>
        <w:t>. La communication</w:t>
      </w:r>
      <w:r w:rsidR="00DA3E8B" w:rsidRPr="00C74CF1">
        <w:rPr>
          <w:rFonts w:ascii="Arial" w:hAnsi="Arial" w:cs="Arial"/>
          <w:sz w:val="22"/>
          <w:szCs w:val="22"/>
        </w:rPr>
        <w:t xml:space="preserve"> clarifie les notions relatives aux bénéficiaires des aide</w:t>
      </w:r>
      <w:r w:rsidR="00A86538">
        <w:rPr>
          <w:rFonts w:ascii="Arial" w:hAnsi="Arial" w:cs="Arial"/>
          <w:sz w:val="22"/>
          <w:szCs w:val="22"/>
        </w:rPr>
        <w:t xml:space="preserve">s aux infrastructures (point 7). </w:t>
      </w:r>
    </w:p>
    <w:p w:rsidR="00C74CF1" w:rsidRDefault="00C74CF1" w:rsidP="0022794D">
      <w:pPr>
        <w:jc w:val="center"/>
        <w:rPr>
          <w:rFonts w:ascii="Arial" w:hAnsi="Arial" w:cs="Arial"/>
          <w:b/>
          <w:sz w:val="28"/>
          <w:szCs w:val="28"/>
        </w:rPr>
      </w:pPr>
    </w:p>
    <w:p w:rsidR="0005728A" w:rsidRPr="0005728A" w:rsidRDefault="0005728A" w:rsidP="0005728A">
      <w:pPr>
        <w:pStyle w:val="Titre1"/>
        <w:numPr>
          <w:ilvl w:val="0"/>
          <w:numId w:val="0"/>
        </w:numPr>
        <w:pBdr>
          <w:top w:val="none" w:sz="0" w:space="0" w:color="auto"/>
          <w:left w:val="none" w:sz="0" w:space="0" w:color="auto"/>
          <w:bottom w:val="none" w:sz="0" w:space="0" w:color="auto"/>
          <w:right w:val="none" w:sz="0" w:space="0" w:color="auto"/>
        </w:pBdr>
        <w:ind w:left="432" w:hanging="432"/>
        <w:rPr>
          <w:rFonts w:ascii="Avenir LT Std 65 Medium" w:hAnsi="Avenir LT Std 65 Medium"/>
          <w:color w:val="0C4EA2"/>
        </w:rPr>
      </w:pPr>
      <w:r>
        <w:rPr>
          <w:rFonts w:ascii="Avenir LT Std 65 Medium" w:hAnsi="Avenir LT Std 65 Medium"/>
          <w:color w:val="0C4EA2"/>
        </w:rPr>
        <w:t>glossaire des définitions</w:t>
      </w:r>
    </w:p>
    <w:p w:rsidR="00E857D1" w:rsidRPr="00C74CF1" w:rsidRDefault="00E857D1" w:rsidP="00E857D1">
      <w:pPr>
        <w:rPr>
          <w:rFonts w:ascii="Arial" w:hAnsi="Arial" w:cs="Arial"/>
          <w:i/>
          <w:sz w:val="22"/>
          <w:szCs w:val="22"/>
        </w:rPr>
      </w:pPr>
      <w:r w:rsidRPr="00C74CF1">
        <w:rPr>
          <w:rFonts w:ascii="Arial" w:hAnsi="Arial" w:cs="Arial"/>
          <w:i/>
          <w:sz w:val="22"/>
        </w:rPr>
        <w:t>NB : Les définitions ci-après sont reprises dans de nombres textes réglementaires. Seule la source initiale (</w:t>
      </w:r>
      <w:proofErr w:type="spellStart"/>
      <w:r w:rsidRPr="00C74CF1">
        <w:rPr>
          <w:rFonts w:ascii="Arial" w:hAnsi="Arial" w:cs="Arial"/>
          <w:i/>
          <w:sz w:val="22"/>
        </w:rPr>
        <w:t>ie</w:t>
      </w:r>
      <w:proofErr w:type="spellEnd"/>
      <w:r w:rsidRPr="00C74CF1">
        <w:rPr>
          <w:rFonts w:ascii="Arial" w:hAnsi="Arial" w:cs="Arial"/>
          <w:i/>
          <w:sz w:val="22"/>
        </w:rPr>
        <w:t xml:space="preserve"> : la première règlementation adoptée) est référencée. </w:t>
      </w:r>
    </w:p>
    <w:p w:rsidR="008356A4" w:rsidRDefault="008356A4">
      <w:pPr>
        <w:rPr>
          <w:rFonts w:ascii="Arial" w:hAnsi="Arial" w:cs="Arial"/>
          <w:sz w:val="22"/>
        </w:rPr>
      </w:pPr>
    </w:p>
    <w:p w:rsidR="0022794D" w:rsidRPr="0005728A" w:rsidRDefault="0022794D">
      <w:pPr>
        <w:rPr>
          <w:rFonts w:ascii="Arial" w:hAnsi="Arial" w:cs="Arial"/>
          <w:b/>
          <w:color w:val="0C4EA2"/>
          <w:sz w:val="22"/>
        </w:rPr>
      </w:pPr>
      <w:r w:rsidRPr="0005728A">
        <w:rPr>
          <w:rFonts w:ascii="Arial" w:hAnsi="Arial" w:cs="Arial"/>
          <w:b/>
          <w:color w:val="0C4EA2"/>
          <w:sz w:val="22"/>
        </w:rPr>
        <w:t>Définitions générales :</w:t>
      </w:r>
    </w:p>
    <w:p w:rsidR="00A3733A" w:rsidRPr="00B8580E" w:rsidRDefault="00A3733A" w:rsidP="00CC5F48">
      <w:pPr>
        <w:jc w:val="both"/>
        <w:rPr>
          <w:rFonts w:ascii="Arial" w:hAnsi="Arial" w:cs="Arial"/>
          <w:b/>
          <w:sz w:val="22"/>
          <w:u w:val="single"/>
        </w:rPr>
      </w:pPr>
    </w:p>
    <w:p w:rsidR="0014346B" w:rsidRDefault="00A86538" w:rsidP="00CC5F48">
      <w:pPr>
        <w:jc w:val="both"/>
        <w:rPr>
          <w:rFonts w:ascii="Arial" w:hAnsi="Arial" w:cs="Arial"/>
          <w:sz w:val="22"/>
          <w:szCs w:val="22"/>
        </w:rPr>
      </w:pPr>
      <w:r>
        <w:rPr>
          <w:rFonts w:ascii="Arial" w:hAnsi="Arial" w:cs="Arial"/>
          <w:b/>
          <w:sz w:val="22"/>
          <w:szCs w:val="22"/>
        </w:rPr>
        <w:t>Activité économique </w:t>
      </w:r>
      <w:r w:rsidR="0022794D" w:rsidRPr="00B8580E">
        <w:rPr>
          <w:rFonts w:ascii="Arial" w:hAnsi="Arial" w:cs="Arial"/>
          <w:sz w:val="22"/>
          <w:szCs w:val="22"/>
        </w:rPr>
        <w:t>: le fait d’offrir des biens et services sur un m</w:t>
      </w:r>
      <w:r w:rsidR="0022794D" w:rsidRPr="00B8580E">
        <w:rPr>
          <w:rFonts w:ascii="Arial" w:hAnsi="Arial" w:cs="Arial"/>
          <w:sz w:val="22"/>
        </w:rPr>
        <w:t xml:space="preserve">arché donné, quel que soit leur </w:t>
      </w:r>
      <w:r w:rsidR="0022794D" w:rsidRPr="00B8580E">
        <w:rPr>
          <w:rFonts w:ascii="Arial" w:hAnsi="Arial" w:cs="Arial"/>
          <w:sz w:val="22"/>
          <w:szCs w:val="22"/>
        </w:rPr>
        <w:t>rentabilité</w:t>
      </w:r>
      <w:r w:rsidR="0022794D" w:rsidRPr="00B8580E">
        <w:rPr>
          <w:rFonts w:ascii="Arial" w:hAnsi="Arial" w:cs="Arial"/>
          <w:sz w:val="22"/>
        </w:rPr>
        <w:t xml:space="preserve">. </w:t>
      </w:r>
      <w:r w:rsidR="0022794D" w:rsidRPr="00B8580E">
        <w:rPr>
          <w:rFonts w:ascii="Arial" w:hAnsi="Arial" w:cs="Arial"/>
          <w:sz w:val="22"/>
          <w:szCs w:val="22"/>
        </w:rPr>
        <w:t>Source : Jurisprudence CJCE</w:t>
      </w:r>
    </w:p>
    <w:p w:rsidR="0022794D" w:rsidRPr="00B8580E" w:rsidRDefault="0022794D" w:rsidP="00CC5F48">
      <w:pPr>
        <w:jc w:val="both"/>
        <w:rPr>
          <w:rFonts w:ascii="Arial" w:hAnsi="Arial" w:cs="Arial"/>
          <w:sz w:val="22"/>
          <w:szCs w:val="22"/>
        </w:rPr>
      </w:pPr>
    </w:p>
    <w:p w:rsidR="0022794D" w:rsidRDefault="00A86538" w:rsidP="00CC5F48">
      <w:pPr>
        <w:jc w:val="both"/>
        <w:rPr>
          <w:rFonts w:ascii="Arial" w:hAnsi="Arial" w:cs="Arial"/>
          <w:sz w:val="22"/>
          <w:szCs w:val="22"/>
        </w:rPr>
      </w:pPr>
      <w:r>
        <w:rPr>
          <w:rFonts w:ascii="Arial" w:hAnsi="Arial" w:cs="Arial"/>
          <w:b/>
          <w:sz w:val="22"/>
          <w:szCs w:val="22"/>
        </w:rPr>
        <w:t>Entreprise </w:t>
      </w:r>
      <w:r w:rsidRPr="00B8580E">
        <w:rPr>
          <w:rFonts w:ascii="Arial" w:hAnsi="Arial" w:cs="Arial"/>
          <w:b/>
          <w:sz w:val="22"/>
          <w:szCs w:val="22"/>
        </w:rPr>
        <w:t>:</w:t>
      </w:r>
      <w:r w:rsidR="0022794D" w:rsidRPr="00B8580E">
        <w:rPr>
          <w:rFonts w:ascii="Arial" w:hAnsi="Arial" w:cs="Arial"/>
          <w:sz w:val="22"/>
          <w:szCs w:val="22"/>
        </w:rPr>
        <w:t xml:space="preserve"> Entité exerçant une activité économique, quel que soit son statut juridique et son mode de fonctionnement</w:t>
      </w:r>
      <w:r w:rsidR="0022794D" w:rsidRPr="00B8580E">
        <w:rPr>
          <w:rFonts w:ascii="Arial" w:hAnsi="Arial" w:cs="Arial"/>
          <w:sz w:val="22"/>
        </w:rPr>
        <w:t xml:space="preserve">. </w:t>
      </w:r>
      <w:r w:rsidR="0022794D" w:rsidRPr="00B8580E">
        <w:rPr>
          <w:rFonts w:ascii="Arial" w:hAnsi="Arial" w:cs="Arial"/>
          <w:sz w:val="22"/>
          <w:szCs w:val="22"/>
        </w:rPr>
        <w:t xml:space="preserve">Source : </w:t>
      </w:r>
      <w:r w:rsidR="0022794D" w:rsidRPr="00B8580E">
        <w:rPr>
          <w:rFonts w:ascii="Arial" w:hAnsi="Arial" w:cs="Arial"/>
          <w:sz w:val="22"/>
        </w:rPr>
        <w:t>Arrêt</w:t>
      </w:r>
      <w:r w:rsidR="0022794D" w:rsidRPr="00B8580E">
        <w:rPr>
          <w:rFonts w:ascii="Arial" w:hAnsi="Arial" w:cs="Arial"/>
          <w:sz w:val="22"/>
          <w:szCs w:val="22"/>
        </w:rPr>
        <w:t xml:space="preserve"> </w:t>
      </w:r>
      <w:proofErr w:type="spellStart"/>
      <w:r w:rsidR="0022794D" w:rsidRPr="00B8580E">
        <w:rPr>
          <w:rFonts w:ascii="Arial" w:hAnsi="Arial" w:cs="Arial"/>
          <w:sz w:val="22"/>
          <w:szCs w:val="22"/>
        </w:rPr>
        <w:t>Hifber</w:t>
      </w:r>
      <w:proofErr w:type="spellEnd"/>
      <w:r w:rsidR="0022794D" w:rsidRPr="00B8580E">
        <w:rPr>
          <w:rFonts w:ascii="Arial" w:hAnsi="Arial" w:cs="Arial"/>
          <w:sz w:val="22"/>
          <w:szCs w:val="22"/>
        </w:rPr>
        <w:t xml:space="preserve"> 13/04/1991</w:t>
      </w:r>
    </w:p>
    <w:p w:rsidR="00BB1200" w:rsidRDefault="00BB1200" w:rsidP="00CC5F48">
      <w:pPr>
        <w:jc w:val="both"/>
        <w:rPr>
          <w:rFonts w:ascii="Arial" w:hAnsi="Arial" w:cs="Arial"/>
          <w:sz w:val="22"/>
          <w:szCs w:val="22"/>
        </w:rPr>
      </w:pPr>
    </w:p>
    <w:p w:rsidR="003A13BF" w:rsidRPr="003A13BF" w:rsidRDefault="00A86538" w:rsidP="0014346B">
      <w:pPr>
        <w:jc w:val="both"/>
        <w:rPr>
          <w:rFonts w:ascii="Arial" w:hAnsi="Arial" w:cs="Arial"/>
          <w:sz w:val="22"/>
          <w:szCs w:val="22"/>
        </w:rPr>
      </w:pPr>
      <w:r>
        <w:rPr>
          <w:rFonts w:ascii="Arial" w:hAnsi="Arial" w:cs="Arial"/>
          <w:b/>
          <w:sz w:val="22"/>
          <w:szCs w:val="22"/>
        </w:rPr>
        <w:t>Principe de pérennité </w:t>
      </w:r>
      <w:r w:rsidR="003A13BF" w:rsidRPr="003A13BF">
        <w:rPr>
          <w:rFonts w:ascii="Arial" w:hAnsi="Arial" w:cs="Arial"/>
          <w:b/>
          <w:sz w:val="22"/>
          <w:szCs w:val="22"/>
        </w:rPr>
        <w:t> :</w:t>
      </w:r>
      <w:r w:rsidR="003A13BF" w:rsidRPr="003A13BF">
        <w:rPr>
          <w:rFonts w:ascii="Arial" w:hAnsi="Arial" w:cs="Arial"/>
          <w:sz w:val="22"/>
          <w:szCs w:val="22"/>
        </w:rPr>
        <w:t xml:space="preserve"> Une opération comprenant un investissement dans une infrastructure ou un investissement productif rembourse la contribution des Fonds ESI si, dans les cinq ans à compter du paiement final au bénéficiaire ou dans la période fixée dans les règles applicables aux aides d'État, selon le cas, elle subit l'un des événements suivants: a) l'arrêt ou la délocalisation d'une activité productive en dehors de la zone couverte par le programme; b) un changement de propriété d'une infrastructure qui procure à une entreprise ou à un organisme public un avantage indu; c) un changement substantiel affectant sa nature, ses objectifs ou ses conditions de mise en œuvre, ce qui porterait atteinte à ses objectifs initiaux.</w:t>
      </w:r>
      <w:r w:rsidR="003A13BF">
        <w:rPr>
          <w:rFonts w:ascii="Arial" w:hAnsi="Arial" w:cs="Arial"/>
          <w:sz w:val="22"/>
          <w:szCs w:val="22"/>
        </w:rPr>
        <w:t xml:space="preserve"> </w:t>
      </w:r>
      <w:r w:rsidR="003A13BF" w:rsidRPr="003A13BF">
        <w:rPr>
          <w:rFonts w:ascii="Arial" w:hAnsi="Arial" w:cs="Arial"/>
          <w:sz w:val="22"/>
          <w:szCs w:val="22"/>
        </w:rPr>
        <w:t>Sour</w:t>
      </w:r>
      <w:r w:rsidR="003A13BF" w:rsidRPr="00E6073B">
        <w:rPr>
          <w:rFonts w:ascii="Arial" w:hAnsi="Arial" w:cs="Arial"/>
          <w:sz w:val="22"/>
          <w:szCs w:val="22"/>
        </w:rPr>
        <w:t xml:space="preserve">ce : </w:t>
      </w:r>
      <w:r w:rsidR="003A13BF" w:rsidRPr="00E6073B">
        <w:rPr>
          <w:rFonts w:ascii="Arial" w:hAnsi="Arial" w:cs="Arial"/>
          <w:sz w:val="22"/>
        </w:rPr>
        <w:t>Règlement</w:t>
      </w:r>
      <w:r w:rsidR="003A13BF" w:rsidRPr="00E6073B">
        <w:rPr>
          <w:rFonts w:ascii="Arial" w:hAnsi="Arial" w:cs="Arial"/>
          <w:sz w:val="22"/>
          <w:szCs w:val="22"/>
        </w:rPr>
        <w:t xml:space="preserve"> </w:t>
      </w:r>
      <w:r w:rsidR="003A13BF" w:rsidRPr="003A13BF">
        <w:rPr>
          <w:rFonts w:ascii="Arial" w:hAnsi="Arial" w:cs="Arial"/>
          <w:sz w:val="22"/>
          <w:szCs w:val="22"/>
        </w:rPr>
        <w:t xml:space="preserve">UE No 1303/2013 dit règlement général. </w:t>
      </w:r>
    </w:p>
    <w:p w:rsidR="0022794D" w:rsidRPr="00B8580E" w:rsidRDefault="0022794D">
      <w:pPr>
        <w:rPr>
          <w:rFonts w:ascii="Arial" w:hAnsi="Arial" w:cs="Arial"/>
          <w:sz w:val="22"/>
        </w:rPr>
      </w:pPr>
    </w:p>
    <w:p w:rsidR="0022794D" w:rsidRPr="0005728A" w:rsidRDefault="0022794D">
      <w:pPr>
        <w:rPr>
          <w:rFonts w:ascii="Arial" w:hAnsi="Arial" w:cs="Arial"/>
          <w:b/>
          <w:sz w:val="22"/>
        </w:rPr>
      </w:pPr>
      <w:r w:rsidRPr="0005728A">
        <w:rPr>
          <w:rFonts w:ascii="Arial" w:hAnsi="Arial" w:cs="Arial"/>
          <w:b/>
          <w:color w:val="0C4EA2"/>
          <w:sz w:val="22"/>
        </w:rPr>
        <w:t>Définitions spécifiques à la RDI</w:t>
      </w:r>
      <w:r w:rsidR="00E857D1" w:rsidRPr="0005728A">
        <w:rPr>
          <w:rFonts w:ascii="Arial" w:hAnsi="Arial" w:cs="Arial"/>
          <w:b/>
          <w:color w:val="0C4EA2"/>
          <w:sz w:val="22"/>
        </w:rPr>
        <w:t> :</w:t>
      </w:r>
    </w:p>
    <w:p w:rsidR="004C231A" w:rsidRDefault="004C231A">
      <w:pPr>
        <w:rPr>
          <w:b/>
          <w:sz w:val="22"/>
          <w:u w:val="single"/>
        </w:rPr>
      </w:pPr>
    </w:p>
    <w:p w:rsidR="00647D0A" w:rsidRDefault="00A86538" w:rsidP="00CC5F48">
      <w:pPr>
        <w:jc w:val="both"/>
        <w:rPr>
          <w:rFonts w:ascii="Arial" w:hAnsi="Arial" w:cs="Arial"/>
          <w:sz w:val="22"/>
          <w:szCs w:val="22"/>
        </w:rPr>
      </w:pPr>
      <w:r>
        <w:rPr>
          <w:rFonts w:ascii="Arial" w:hAnsi="Arial" w:cs="Arial"/>
          <w:b/>
          <w:sz w:val="22"/>
          <w:szCs w:val="22"/>
        </w:rPr>
        <w:t>Activités économiques</w:t>
      </w:r>
      <w:r w:rsidR="00647D0A" w:rsidRPr="006459B8">
        <w:rPr>
          <w:rFonts w:ascii="Arial" w:hAnsi="Arial" w:cs="Arial"/>
          <w:b/>
          <w:sz w:val="22"/>
          <w:szCs w:val="22"/>
        </w:rPr>
        <w:t xml:space="preserve"> : </w:t>
      </w:r>
      <w:r w:rsidR="00647D0A" w:rsidRPr="006459B8">
        <w:rPr>
          <w:rFonts w:ascii="Arial" w:hAnsi="Arial" w:cs="Arial"/>
          <w:sz w:val="22"/>
          <w:szCs w:val="22"/>
        </w:rPr>
        <w:t>activités consistant notamment à louer des équipements ou de</w:t>
      </w:r>
      <w:r w:rsidR="00282E7C">
        <w:rPr>
          <w:rFonts w:ascii="Arial" w:hAnsi="Arial" w:cs="Arial"/>
          <w:sz w:val="22"/>
          <w:szCs w:val="22"/>
        </w:rPr>
        <w:t>s</w:t>
      </w:r>
      <w:r w:rsidR="00647D0A" w:rsidRPr="006459B8">
        <w:rPr>
          <w:rFonts w:ascii="Arial" w:hAnsi="Arial" w:cs="Arial"/>
          <w:sz w:val="22"/>
          <w:szCs w:val="22"/>
        </w:rPr>
        <w:t xml:space="preserve"> </w:t>
      </w:r>
      <w:r w:rsidR="00282E7C" w:rsidRPr="006459B8">
        <w:rPr>
          <w:rFonts w:ascii="Arial" w:hAnsi="Arial" w:cs="Arial"/>
          <w:sz w:val="22"/>
          <w:szCs w:val="22"/>
        </w:rPr>
        <w:t>laboratoires</w:t>
      </w:r>
      <w:r w:rsidR="00647D0A" w:rsidRPr="006459B8">
        <w:rPr>
          <w:rFonts w:ascii="Arial" w:hAnsi="Arial" w:cs="Arial"/>
          <w:sz w:val="22"/>
          <w:szCs w:val="22"/>
        </w:rPr>
        <w:t xml:space="preserve"> à des entreprises, à fournir des de services à des entreprises ou à mener des activités de recherche contractuelle. Source : Communication 2014/C 198/01 dite communication RDI point 2.1.2/21</w:t>
      </w:r>
    </w:p>
    <w:p w:rsidR="00282E7C" w:rsidRDefault="00282E7C" w:rsidP="00CC5F48">
      <w:pPr>
        <w:autoSpaceDE w:val="0"/>
        <w:autoSpaceDN w:val="0"/>
        <w:adjustRightInd w:val="0"/>
        <w:jc w:val="both"/>
        <w:rPr>
          <w:rFonts w:ascii="Arial" w:hAnsi="Arial" w:cs="Arial"/>
          <w:sz w:val="22"/>
          <w:szCs w:val="22"/>
        </w:rPr>
      </w:pPr>
      <w:r w:rsidRPr="00282E7C">
        <w:rPr>
          <w:rFonts w:ascii="Arial" w:hAnsi="Arial" w:cs="Arial"/>
          <w:sz w:val="22"/>
          <w:szCs w:val="22"/>
        </w:rPr>
        <w:t>La communication précise que la formation de la main-d’œuvre, au sens des règles en matière d’aides d’Etat relatives aux aides à la formation, ne peut être qualifiée d’activité non économique principale des organismes de recherche. La fourniture de services de R&amp;D et l’exercice d’activités de R&amp;D pour le compte d’entreprises ne sont pas non plus considérés comme de la R&amp;D indépendante.</w:t>
      </w:r>
    </w:p>
    <w:p w:rsidR="00A15199" w:rsidRPr="00282E7C" w:rsidRDefault="00A15199" w:rsidP="00CC5F48">
      <w:pPr>
        <w:autoSpaceDE w:val="0"/>
        <w:autoSpaceDN w:val="0"/>
        <w:adjustRightInd w:val="0"/>
        <w:jc w:val="both"/>
        <w:rPr>
          <w:rFonts w:ascii="Arial" w:hAnsi="Arial" w:cs="Arial"/>
          <w:sz w:val="22"/>
          <w:szCs w:val="22"/>
        </w:rPr>
      </w:pPr>
      <w:r>
        <w:rPr>
          <w:rFonts w:ascii="Arial" w:hAnsi="Arial" w:cs="Arial"/>
          <w:sz w:val="22"/>
          <w:szCs w:val="22"/>
        </w:rPr>
        <w:t>La construction d’une infrastructure qui sera commercialement exploitée est une activité commerciale et tombe dans le champ des aides d’Etat. Source : CEJ Cas C-288/11 Leipzig-Halle</w:t>
      </w:r>
    </w:p>
    <w:p w:rsidR="004C231A" w:rsidRPr="006459B8" w:rsidRDefault="004C231A" w:rsidP="00CC5F48">
      <w:pPr>
        <w:jc w:val="both"/>
        <w:rPr>
          <w:rFonts w:ascii="Arial" w:hAnsi="Arial" w:cs="Arial"/>
          <w:sz w:val="22"/>
          <w:szCs w:val="22"/>
        </w:rPr>
      </w:pPr>
    </w:p>
    <w:p w:rsidR="004C231A" w:rsidRPr="006459B8" w:rsidRDefault="008356A4" w:rsidP="00CC5F48">
      <w:pPr>
        <w:jc w:val="both"/>
        <w:rPr>
          <w:rFonts w:ascii="Arial" w:hAnsi="Arial" w:cs="Arial"/>
          <w:sz w:val="22"/>
          <w:szCs w:val="22"/>
        </w:rPr>
      </w:pPr>
      <w:r w:rsidRPr="006459B8">
        <w:rPr>
          <w:rFonts w:ascii="Arial" w:hAnsi="Arial" w:cs="Arial"/>
          <w:b/>
          <w:sz w:val="22"/>
          <w:szCs w:val="22"/>
        </w:rPr>
        <w:t>Activité</w:t>
      </w:r>
      <w:r w:rsidR="006459B8">
        <w:rPr>
          <w:rFonts w:ascii="Arial" w:hAnsi="Arial" w:cs="Arial"/>
          <w:b/>
          <w:sz w:val="22"/>
          <w:szCs w:val="22"/>
        </w:rPr>
        <w:t>s</w:t>
      </w:r>
      <w:r w:rsidRPr="006459B8">
        <w:rPr>
          <w:rFonts w:ascii="Arial" w:hAnsi="Arial" w:cs="Arial"/>
          <w:b/>
          <w:sz w:val="22"/>
          <w:szCs w:val="22"/>
        </w:rPr>
        <w:t xml:space="preserve"> non économique</w:t>
      </w:r>
      <w:r w:rsidR="006459B8">
        <w:rPr>
          <w:rFonts w:ascii="Arial" w:hAnsi="Arial" w:cs="Arial"/>
          <w:b/>
          <w:sz w:val="22"/>
          <w:szCs w:val="22"/>
        </w:rPr>
        <w:t>s</w:t>
      </w:r>
      <w:r w:rsidR="00647D0A" w:rsidRPr="006459B8">
        <w:rPr>
          <w:rFonts w:ascii="Arial" w:hAnsi="Arial" w:cs="Arial"/>
          <w:b/>
          <w:sz w:val="22"/>
          <w:szCs w:val="22"/>
        </w:rPr>
        <w:t> :</w:t>
      </w:r>
      <w:r w:rsidR="00647D0A" w:rsidRPr="006459B8">
        <w:rPr>
          <w:rFonts w:ascii="Arial" w:hAnsi="Arial" w:cs="Arial"/>
          <w:sz w:val="22"/>
          <w:szCs w:val="22"/>
        </w:rPr>
        <w:t xml:space="preserve"> </w:t>
      </w:r>
      <w:r w:rsidR="004C231A" w:rsidRPr="006459B8">
        <w:rPr>
          <w:rFonts w:ascii="Arial" w:hAnsi="Arial" w:cs="Arial"/>
          <w:sz w:val="22"/>
          <w:szCs w:val="22"/>
        </w:rPr>
        <w:t>A</w:t>
      </w:r>
      <w:r w:rsidR="004C231A" w:rsidRPr="004C231A">
        <w:rPr>
          <w:rFonts w:ascii="Arial" w:hAnsi="Arial" w:cs="Arial"/>
          <w:sz w:val="22"/>
          <w:szCs w:val="22"/>
        </w:rPr>
        <w:t xml:space="preserve">ctivités principales des organismes de recherche et des </w:t>
      </w:r>
      <w:r w:rsidR="004C231A" w:rsidRPr="006459B8">
        <w:rPr>
          <w:rFonts w:ascii="Arial" w:hAnsi="Arial" w:cs="Arial"/>
          <w:sz w:val="22"/>
          <w:szCs w:val="22"/>
        </w:rPr>
        <w:t>infrastructures de recherche</w:t>
      </w:r>
      <w:r w:rsidR="006459B8" w:rsidRPr="006459B8">
        <w:rPr>
          <w:rFonts w:ascii="Arial" w:hAnsi="Arial" w:cs="Arial"/>
          <w:sz w:val="22"/>
          <w:szCs w:val="22"/>
        </w:rPr>
        <w:t>:</w:t>
      </w:r>
    </w:p>
    <w:tbl>
      <w:tblPr>
        <w:tblW w:w="5000" w:type="pct"/>
        <w:shd w:val="clear" w:color="auto" w:fill="FFFFFF"/>
        <w:tblLayout w:type="fixed"/>
        <w:tblCellMar>
          <w:left w:w="0" w:type="dxa"/>
          <w:right w:w="0" w:type="dxa"/>
        </w:tblCellMar>
        <w:tblLook w:val="04A0" w:firstRow="1" w:lastRow="0" w:firstColumn="1" w:lastColumn="0" w:noHBand="0" w:noVBand="1"/>
      </w:tblPr>
      <w:tblGrid>
        <w:gridCol w:w="20"/>
        <w:gridCol w:w="9052"/>
      </w:tblGrid>
      <w:tr w:rsidR="006459B8" w:rsidRPr="004C231A" w:rsidTr="006459B8">
        <w:tc>
          <w:tcPr>
            <w:tcW w:w="11" w:type="pct"/>
            <w:shd w:val="clear" w:color="auto" w:fill="FFFFFF"/>
            <w:hideMark/>
          </w:tcPr>
          <w:p w:rsidR="004C231A" w:rsidRPr="004C231A" w:rsidRDefault="004C231A" w:rsidP="00CC5F48">
            <w:pPr>
              <w:spacing w:before="120"/>
              <w:jc w:val="both"/>
              <w:rPr>
                <w:rFonts w:ascii="Arial" w:hAnsi="Arial" w:cs="Arial"/>
                <w:sz w:val="22"/>
                <w:szCs w:val="22"/>
              </w:rPr>
            </w:pPr>
          </w:p>
        </w:tc>
        <w:tc>
          <w:tcPr>
            <w:tcW w:w="4989" w:type="pct"/>
            <w:shd w:val="clear" w:color="auto" w:fill="FFFFFF"/>
            <w:hideMark/>
          </w:tcPr>
          <w:tbl>
            <w:tblPr>
              <w:tblW w:w="5000" w:type="pct"/>
              <w:tblLayout w:type="fixed"/>
              <w:tblCellMar>
                <w:left w:w="0" w:type="dxa"/>
                <w:right w:w="0" w:type="dxa"/>
              </w:tblCellMar>
              <w:tblLook w:val="04A0" w:firstRow="1" w:lastRow="0" w:firstColumn="1" w:lastColumn="0" w:noHBand="0" w:noVBand="1"/>
            </w:tblPr>
            <w:tblGrid>
              <w:gridCol w:w="74"/>
              <w:gridCol w:w="8978"/>
            </w:tblGrid>
            <w:tr w:rsidR="006459B8" w:rsidRPr="004C231A" w:rsidTr="006459B8">
              <w:tc>
                <w:tcPr>
                  <w:tcW w:w="74" w:type="dxa"/>
                  <w:shd w:val="clear" w:color="auto" w:fill="auto"/>
                  <w:hideMark/>
                </w:tcPr>
                <w:p w:rsidR="004C231A" w:rsidRPr="006F00E3" w:rsidRDefault="006F00E3" w:rsidP="00CC5F48">
                  <w:pPr>
                    <w:pStyle w:val="Paragraphedeliste"/>
                    <w:numPr>
                      <w:ilvl w:val="0"/>
                      <w:numId w:val="6"/>
                    </w:numPr>
                    <w:spacing w:before="120"/>
                    <w:jc w:val="both"/>
                    <w:rPr>
                      <w:rFonts w:ascii="Arial" w:hAnsi="Arial" w:cs="Arial"/>
                      <w:sz w:val="22"/>
                      <w:szCs w:val="22"/>
                    </w:rPr>
                  </w:pPr>
                  <w:r>
                    <w:rPr>
                      <w:rFonts w:ascii="Arial" w:hAnsi="Arial" w:cs="Arial"/>
                      <w:sz w:val="22"/>
                      <w:szCs w:val="22"/>
                    </w:rPr>
                    <w:t xml:space="preserve">- </w:t>
                  </w:r>
                </w:p>
              </w:tc>
              <w:tc>
                <w:tcPr>
                  <w:tcW w:w="8992" w:type="dxa"/>
                  <w:shd w:val="clear" w:color="auto" w:fill="auto"/>
                  <w:hideMark/>
                </w:tcPr>
                <w:p w:rsidR="004C231A" w:rsidRPr="00AB63A8" w:rsidRDefault="006459B8" w:rsidP="00CC5F48">
                  <w:pPr>
                    <w:pStyle w:val="Paragraphedeliste"/>
                    <w:numPr>
                      <w:ilvl w:val="0"/>
                      <w:numId w:val="6"/>
                    </w:numPr>
                    <w:spacing w:before="120"/>
                    <w:jc w:val="both"/>
                    <w:rPr>
                      <w:rFonts w:ascii="Arial" w:hAnsi="Arial" w:cs="Arial"/>
                      <w:sz w:val="22"/>
                      <w:szCs w:val="22"/>
                    </w:rPr>
                  </w:pPr>
                  <w:r w:rsidRPr="00AB63A8">
                    <w:rPr>
                      <w:rFonts w:ascii="Arial" w:hAnsi="Arial" w:cs="Arial"/>
                      <w:sz w:val="22"/>
                      <w:szCs w:val="22"/>
                    </w:rPr>
                    <w:t>Formation</w:t>
                  </w:r>
                  <w:r w:rsidR="004C231A" w:rsidRPr="00AB63A8">
                    <w:rPr>
                      <w:rFonts w:ascii="Arial" w:hAnsi="Arial" w:cs="Arial"/>
                      <w:sz w:val="22"/>
                      <w:szCs w:val="22"/>
                    </w:rPr>
                    <w:t xml:space="preserve"> en vue de ressources humaines accrues et plus qualifiées.</w:t>
                  </w:r>
                  <w:r w:rsidRPr="00AB63A8">
                    <w:rPr>
                      <w:rFonts w:ascii="Arial" w:hAnsi="Arial" w:cs="Arial"/>
                      <w:sz w:val="22"/>
                      <w:szCs w:val="22"/>
                    </w:rPr>
                    <w:t xml:space="preserve"> L</w:t>
                  </w:r>
                  <w:r w:rsidR="004C231A" w:rsidRPr="00AB63A8">
                    <w:rPr>
                      <w:rFonts w:ascii="Arial" w:hAnsi="Arial" w:cs="Arial"/>
                      <w:sz w:val="22"/>
                      <w:szCs w:val="22"/>
                    </w:rPr>
                    <w:t xml:space="preserve">’enseignement public organisé dans le cadre du système d’éducation national, financé principalement ou intégralement </w:t>
                  </w:r>
                  <w:r w:rsidRPr="00AB63A8">
                    <w:rPr>
                      <w:rFonts w:ascii="Arial" w:hAnsi="Arial" w:cs="Arial"/>
                      <w:sz w:val="22"/>
                      <w:szCs w:val="22"/>
                    </w:rPr>
                    <w:t xml:space="preserve">et supervisé </w:t>
                  </w:r>
                  <w:r w:rsidR="004C231A" w:rsidRPr="00AB63A8">
                    <w:rPr>
                      <w:rFonts w:ascii="Arial" w:hAnsi="Arial" w:cs="Arial"/>
                      <w:sz w:val="22"/>
                      <w:szCs w:val="22"/>
                    </w:rPr>
                    <w:t>par l’État peut être considéré c</w:t>
                  </w:r>
                  <w:r w:rsidRPr="00AB63A8">
                    <w:rPr>
                      <w:rFonts w:ascii="Arial" w:hAnsi="Arial" w:cs="Arial"/>
                      <w:sz w:val="22"/>
                      <w:szCs w:val="22"/>
                    </w:rPr>
                    <w:t>omme une activité non économiqu</w:t>
                  </w:r>
                  <w:r w:rsidRPr="00AB63A8">
                    <w:rPr>
                      <w:rFonts w:ascii="Arial" w:hAnsi="Arial" w:cs="Arial"/>
                      <w:sz w:val="22"/>
                      <w:szCs w:val="22"/>
                      <w:u w:val="single"/>
                    </w:rPr>
                    <w:t>e</w:t>
                  </w:r>
                  <w:r w:rsidR="004C231A" w:rsidRPr="00AB63A8">
                    <w:rPr>
                      <w:rFonts w:ascii="Arial" w:hAnsi="Arial" w:cs="Arial"/>
                      <w:sz w:val="22"/>
                      <w:szCs w:val="22"/>
                    </w:rPr>
                    <w:t>,</w:t>
                  </w:r>
                </w:p>
              </w:tc>
            </w:tr>
          </w:tbl>
          <w:p w:rsidR="004C231A" w:rsidRPr="004C231A" w:rsidRDefault="004C231A" w:rsidP="00CC5F48">
            <w:pPr>
              <w:jc w:val="both"/>
              <w:rPr>
                <w:rFonts w:ascii="Arial" w:hAnsi="Arial" w:cs="Arial"/>
                <w:vanish/>
                <w:sz w:val="22"/>
                <w:szCs w:val="22"/>
              </w:rPr>
            </w:pPr>
          </w:p>
          <w:tbl>
            <w:tblPr>
              <w:tblW w:w="5000" w:type="pct"/>
              <w:tblLayout w:type="fixed"/>
              <w:tblCellMar>
                <w:left w:w="0" w:type="dxa"/>
                <w:right w:w="0" w:type="dxa"/>
              </w:tblCellMar>
              <w:tblLook w:val="04A0" w:firstRow="1" w:lastRow="0" w:firstColumn="1" w:lastColumn="0" w:noHBand="0" w:noVBand="1"/>
            </w:tblPr>
            <w:tblGrid>
              <w:gridCol w:w="220"/>
              <w:gridCol w:w="8832"/>
            </w:tblGrid>
            <w:tr w:rsidR="006459B8" w:rsidRPr="004C231A" w:rsidTr="00AB63A8">
              <w:tc>
                <w:tcPr>
                  <w:tcW w:w="220" w:type="dxa"/>
                  <w:shd w:val="clear" w:color="auto" w:fill="auto"/>
                  <w:hideMark/>
                </w:tcPr>
                <w:p w:rsidR="004C231A" w:rsidRPr="004C231A" w:rsidRDefault="006459B8" w:rsidP="00CC5F48">
                  <w:pPr>
                    <w:pStyle w:val="Paragraphedeliste"/>
                    <w:numPr>
                      <w:ilvl w:val="0"/>
                      <w:numId w:val="6"/>
                    </w:numPr>
                    <w:spacing w:before="120"/>
                    <w:jc w:val="both"/>
                    <w:rPr>
                      <w:rFonts w:ascii="Arial" w:hAnsi="Arial" w:cs="Arial"/>
                      <w:sz w:val="22"/>
                      <w:szCs w:val="22"/>
                    </w:rPr>
                  </w:pPr>
                  <w:r>
                    <w:rPr>
                      <w:rFonts w:ascii="Arial" w:hAnsi="Arial" w:cs="Arial"/>
                      <w:sz w:val="22"/>
                      <w:szCs w:val="22"/>
                    </w:rPr>
                    <w:t>-</w:t>
                  </w:r>
                </w:p>
              </w:tc>
              <w:tc>
                <w:tcPr>
                  <w:tcW w:w="8832" w:type="dxa"/>
                  <w:shd w:val="clear" w:color="auto" w:fill="auto"/>
                  <w:hideMark/>
                </w:tcPr>
                <w:p w:rsidR="004C231A" w:rsidRPr="004C231A" w:rsidRDefault="004C231A" w:rsidP="00CC5F48">
                  <w:pPr>
                    <w:pStyle w:val="Paragraphedeliste"/>
                    <w:numPr>
                      <w:ilvl w:val="0"/>
                      <w:numId w:val="6"/>
                    </w:numPr>
                    <w:spacing w:before="120"/>
                    <w:jc w:val="both"/>
                    <w:rPr>
                      <w:rFonts w:ascii="Arial" w:hAnsi="Arial" w:cs="Arial"/>
                      <w:sz w:val="22"/>
                      <w:szCs w:val="22"/>
                    </w:rPr>
                  </w:pPr>
                  <w:r w:rsidRPr="004C231A">
                    <w:rPr>
                      <w:rFonts w:ascii="Arial" w:hAnsi="Arial" w:cs="Arial"/>
                      <w:sz w:val="22"/>
                      <w:szCs w:val="22"/>
                    </w:rPr>
                    <w:t>R&amp;D indépendantes en vue de conn</w:t>
                  </w:r>
                  <w:r w:rsidR="006459B8">
                    <w:rPr>
                      <w:rFonts w:ascii="Arial" w:hAnsi="Arial" w:cs="Arial"/>
                      <w:sz w:val="22"/>
                      <w:szCs w:val="22"/>
                    </w:rPr>
                    <w:t>aissances plus étendues et d’une</w:t>
                  </w:r>
                  <w:r w:rsidRPr="004C231A">
                    <w:rPr>
                      <w:rFonts w:ascii="Arial" w:hAnsi="Arial" w:cs="Arial"/>
                      <w:sz w:val="22"/>
                      <w:szCs w:val="22"/>
                    </w:rPr>
                    <w:t xml:space="preserve"> meilleure compréhension, y compris les activités de R&amp;D en collaboration effective</w:t>
                  </w:r>
                </w:p>
              </w:tc>
            </w:tr>
            <w:tr w:rsidR="006459B8" w:rsidRPr="004C231A" w:rsidTr="00AB63A8">
              <w:tc>
                <w:tcPr>
                  <w:tcW w:w="220" w:type="dxa"/>
                  <w:shd w:val="clear" w:color="auto" w:fill="auto"/>
                  <w:hideMark/>
                </w:tcPr>
                <w:p w:rsidR="004C231A" w:rsidRPr="004C231A" w:rsidRDefault="006459B8" w:rsidP="00CC5F48">
                  <w:pPr>
                    <w:pStyle w:val="Paragraphedeliste"/>
                    <w:numPr>
                      <w:ilvl w:val="0"/>
                      <w:numId w:val="6"/>
                    </w:numPr>
                    <w:spacing w:before="120"/>
                    <w:jc w:val="both"/>
                    <w:rPr>
                      <w:rFonts w:ascii="Arial" w:hAnsi="Arial" w:cs="Arial"/>
                      <w:sz w:val="22"/>
                      <w:szCs w:val="22"/>
                    </w:rPr>
                  </w:pPr>
                  <w:r>
                    <w:rPr>
                      <w:rFonts w:ascii="Arial" w:hAnsi="Arial" w:cs="Arial"/>
                      <w:sz w:val="22"/>
                      <w:szCs w:val="22"/>
                    </w:rPr>
                    <w:t>-</w:t>
                  </w:r>
                </w:p>
              </w:tc>
              <w:tc>
                <w:tcPr>
                  <w:tcW w:w="8832" w:type="dxa"/>
                  <w:shd w:val="clear" w:color="auto" w:fill="auto"/>
                  <w:hideMark/>
                </w:tcPr>
                <w:p w:rsidR="004C231A" w:rsidRPr="004C231A" w:rsidRDefault="006459B8" w:rsidP="00CC5F48">
                  <w:pPr>
                    <w:pStyle w:val="Paragraphedeliste"/>
                    <w:numPr>
                      <w:ilvl w:val="0"/>
                      <w:numId w:val="6"/>
                    </w:numPr>
                    <w:spacing w:before="120"/>
                    <w:jc w:val="both"/>
                    <w:rPr>
                      <w:rFonts w:ascii="Arial" w:hAnsi="Arial" w:cs="Arial"/>
                      <w:sz w:val="22"/>
                      <w:szCs w:val="22"/>
                    </w:rPr>
                  </w:pPr>
                  <w:r w:rsidRPr="006459B8">
                    <w:rPr>
                      <w:rFonts w:ascii="Arial" w:hAnsi="Arial" w:cs="Arial"/>
                      <w:sz w:val="22"/>
                      <w:szCs w:val="22"/>
                    </w:rPr>
                    <w:t>D</w:t>
                  </w:r>
                  <w:r w:rsidR="004C231A" w:rsidRPr="004C231A">
                    <w:rPr>
                      <w:rFonts w:ascii="Arial" w:hAnsi="Arial" w:cs="Arial"/>
                      <w:sz w:val="22"/>
                      <w:szCs w:val="22"/>
                    </w:rPr>
                    <w:t>iffusion des résultats de la recherche sur une base non exclusive et non discrimi</w:t>
                  </w:r>
                  <w:r w:rsidRPr="006459B8">
                    <w:rPr>
                      <w:rFonts w:ascii="Arial" w:hAnsi="Arial" w:cs="Arial"/>
                      <w:sz w:val="22"/>
                      <w:szCs w:val="22"/>
                    </w:rPr>
                    <w:t xml:space="preserve">natoire, par exemple apprentissages, bases de données, publications et </w:t>
                  </w:r>
                  <w:r w:rsidR="004C231A" w:rsidRPr="004C231A">
                    <w:rPr>
                      <w:rFonts w:ascii="Arial" w:hAnsi="Arial" w:cs="Arial"/>
                      <w:sz w:val="22"/>
                      <w:szCs w:val="22"/>
                    </w:rPr>
                    <w:t>logiciels en libre accès;</w:t>
                  </w:r>
                </w:p>
              </w:tc>
            </w:tr>
          </w:tbl>
          <w:p w:rsidR="004C231A" w:rsidRPr="004C231A" w:rsidRDefault="004C231A" w:rsidP="00CC5F48">
            <w:pPr>
              <w:jc w:val="both"/>
              <w:rPr>
                <w:rFonts w:ascii="Arial" w:hAnsi="Arial" w:cs="Arial"/>
                <w:sz w:val="22"/>
                <w:szCs w:val="22"/>
              </w:rPr>
            </w:pPr>
          </w:p>
        </w:tc>
      </w:tr>
    </w:tbl>
    <w:p w:rsidR="004C231A" w:rsidRPr="004C231A" w:rsidRDefault="004C231A" w:rsidP="00CC5F48">
      <w:pPr>
        <w:jc w:val="both"/>
        <w:rPr>
          <w:rFonts w:ascii="Arial" w:hAnsi="Arial" w:cs="Arial"/>
          <w:vanish/>
          <w:sz w:val="22"/>
          <w:szCs w:val="22"/>
        </w:rPr>
      </w:pPr>
    </w:p>
    <w:tbl>
      <w:tblPr>
        <w:tblW w:w="5000" w:type="pct"/>
        <w:shd w:val="clear" w:color="auto" w:fill="FFFFFF"/>
        <w:tblCellMar>
          <w:left w:w="0" w:type="dxa"/>
          <w:right w:w="0" w:type="dxa"/>
        </w:tblCellMar>
        <w:tblLook w:val="04A0" w:firstRow="1" w:lastRow="0" w:firstColumn="1" w:lastColumn="0" w:noHBand="0" w:noVBand="1"/>
      </w:tblPr>
      <w:tblGrid>
        <w:gridCol w:w="6"/>
        <w:gridCol w:w="9066"/>
      </w:tblGrid>
      <w:tr w:rsidR="006459B8" w:rsidRPr="004C231A" w:rsidTr="004C231A">
        <w:tc>
          <w:tcPr>
            <w:tcW w:w="0" w:type="auto"/>
            <w:shd w:val="clear" w:color="auto" w:fill="FFFFFF"/>
            <w:hideMark/>
          </w:tcPr>
          <w:p w:rsidR="004C231A" w:rsidRPr="004C231A" w:rsidRDefault="004C231A" w:rsidP="00CC5F48">
            <w:pPr>
              <w:spacing w:before="120"/>
              <w:jc w:val="both"/>
              <w:rPr>
                <w:rFonts w:ascii="Arial" w:hAnsi="Arial" w:cs="Arial"/>
                <w:sz w:val="22"/>
                <w:szCs w:val="22"/>
              </w:rPr>
            </w:pPr>
          </w:p>
        </w:tc>
        <w:tc>
          <w:tcPr>
            <w:tcW w:w="0" w:type="auto"/>
            <w:shd w:val="clear" w:color="auto" w:fill="FFFFFF"/>
            <w:hideMark/>
          </w:tcPr>
          <w:p w:rsidR="004C231A" w:rsidRPr="004C231A" w:rsidRDefault="006459B8" w:rsidP="00CC5F48">
            <w:pPr>
              <w:spacing w:before="120"/>
              <w:jc w:val="both"/>
              <w:rPr>
                <w:rFonts w:ascii="Arial" w:hAnsi="Arial" w:cs="Arial"/>
                <w:sz w:val="22"/>
                <w:szCs w:val="22"/>
              </w:rPr>
            </w:pPr>
            <w:r w:rsidRPr="006459B8">
              <w:rPr>
                <w:rFonts w:ascii="Arial" w:hAnsi="Arial" w:cs="Arial"/>
                <w:sz w:val="22"/>
                <w:szCs w:val="22"/>
              </w:rPr>
              <w:t>A</w:t>
            </w:r>
            <w:r w:rsidR="004C231A" w:rsidRPr="004C231A">
              <w:rPr>
                <w:rFonts w:ascii="Arial" w:hAnsi="Arial" w:cs="Arial"/>
                <w:sz w:val="22"/>
                <w:szCs w:val="22"/>
              </w:rPr>
              <w:t xml:space="preserve">ctivités de transfert de connaissances, dès lors qu’elles sont effectuées ou bien par l’organisme de recherche ou l’infrastructure de recherche (et leurs services ou filiales), ou bien conjointement avec d’autres entités de cette nature ou en leur nom, et que tous les bénéfices tirés de ces activités sont réinvestis dans les activités principales de l’organisme de recherche ou de l’infrastructure de recherche. </w:t>
            </w:r>
          </w:p>
        </w:tc>
      </w:tr>
    </w:tbl>
    <w:p w:rsidR="008356A4" w:rsidRPr="006459B8" w:rsidRDefault="008356A4" w:rsidP="00CC5F48">
      <w:pPr>
        <w:jc w:val="both"/>
        <w:rPr>
          <w:rFonts w:ascii="Arial" w:hAnsi="Arial" w:cs="Arial"/>
          <w:sz w:val="22"/>
          <w:szCs w:val="22"/>
        </w:rPr>
      </w:pPr>
      <w:r w:rsidRPr="006459B8">
        <w:rPr>
          <w:rFonts w:ascii="Arial" w:hAnsi="Arial" w:cs="Arial"/>
          <w:sz w:val="22"/>
          <w:szCs w:val="22"/>
        </w:rPr>
        <w:t>Source :</w:t>
      </w:r>
      <w:r w:rsidR="00E857D1" w:rsidRPr="006459B8">
        <w:rPr>
          <w:rFonts w:ascii="Arial" w:hAnsi="Arial" w:cs="Arial"/>
          <w:sz w:val="22"/>
          <w:szCs w:val="22"/>
        </w:rPr>
        <w:t xml:space="preserve"> Communication </w:t>
      </w:r>
      <w:r w:rsidRPr="006459B8">
        <w:rPr>
          <w:rFonts w:ascii="Arial" w:hAnsi="Arial" w:cs="Arial"/>
          <w:sz w:val="22"/>
          <w:szCs w:val="22"/>
        </w:rPr>
        <w:t xml:space="preserve">2014/C 198/01 </w:t>
      </w:r>
      <w:r w:rsidR="00E857D1" w:rsidRPr="006459B8">
        <w:rPr>
          <w:rFonts w:ascii="Arial" w:hAnsi="Arial" w:cs="Arial"/>
          <w:sz w:val="22"/>
          <w:szCs w:val="22"/>
        </w:rPr>
        <w:t>dite C</w:t>
      </w:r>
      <w:r w:rsidRPr="006459B8">
        <w:rPr>
          <w:rFonts w:ascii="Arial" w:hAnsi="Arial" w:cs="Arial"/>
          <w:sz w:val="22"/>
          <w:szCs w:val="22"/>
        </w:rPr>
        <w:t>ommunication RDI</w:t>
      </w:r>
      <w:r w:rsidR="00647D0A" w:rsidRPr="006459B8">
        <w:rPr>
          <w:rFonts w:ascii="Arial" w:hAnsi="Arial" w:cs="Arial"/>
          <w:sz w:val="22"/>
          <w:szCs w:val="22"/>
        </w:rPr>
        <w:t xml:space="preserve"> point 2.1.1/19</w:t>
      </w:r>
    </w:p>
    <w:p w:rsidR="006459B8" w:rsidRDefault="006459B8" w:rsidP="00CC5F48">
      <w:pPr>
        <w:jc w:val="both"/>
        <w:rPr>
          <w:rStyle w:val="bold"/>
          <w:sz w:val="22"/>
        </w:rPr>
      </w:pPr>
    </w:p>
    <w:p w:rsidR="00C641D8" w:rsidRDefault="00C71CF4" w:rsidP="00CC5F48">
      <w:pPr>
        <w:jc w:val="both"/>
        <w:rPr>
          <w:rFonts w:ascii="Arial" w:hAnsi="Arial" w:cs="Arial"/>
          <w:sz w:val="22"/>
          <w:szCs w:val="22"/>
        </w:rPr>
      </w:pPr>
      <w:r w:rsidRPr="006459B8">
        <w:rPr>
          <w:rStyle w:val="bold"/>
          <w:rFonts w:ascii="Arial" w:hAnsi="Arial" w:cs="Arial"/>
          <w:sz w:val="22"/>
        </w:rPr>
        <w:t>Collaboration</w:t>
      </w:r>
      <w:r w:rsidR="00C641D8" w:rsidRPr="006459B8">
        <w:rPr>
          <w:rStyle w:val="bold"/>
          <w:rFonts w:ascii="Arial" w:hAnsi="Arial" w:cs="Arial"/>
          <w:sz w:val="22"/>
          <w:szCs w:val="22"/>
        </w:rPr>
        <w:t xml:space="preserve"> </w:t>
      </w:r>
      <w:r w:rsidRPr="006459B8">
        <w:rPr>
          <w:rStyle w:val="bold"/>
          <w:rFonts w:ascii="Arial" w:hAnsi="Arial" w:cs="Arial"/>
          <w:sz w:val="22"/>
        </w:rPr>
        <w:t>effe</w:t>
      </w:r>
      <w:r w:rsidR="00A86538">
        <w:rPr>
          <w:rStyle w:val="bold"/>
          <w:rFonts w:ascii="Arial" w:hAnsi="Arial" w:cs="Arial"/>
          <w:sz w:val="22"/>
        </w:rPr>
        <w:t xml:space="preserve">ctive </w:t>
      </w:r>
      <w:r w:rsidR="00C641D8" w:rsidRPr="006459B8">
        <w:rPr>
          <w:rFonts w:ascii="Arial" w:hAnsi="Arial" w:cs="Arial"/>
          <w:sz w:val="22"/>
          <w:szCs w:val="22"/>
        </w:rPr>
        <w:t>: une collaboration entre au moins deux parties indépendantes l'une de l'autre et visant à échanger des connaissances ou des technologies, ou à atteindre un objectif commun, fondée sur une division du travail impliquant que les parties définissent conjointement la portée du projet collaboratif, contribuent à sa réalisation, et en partagent les risques et les résultats. Une ou plusieurs parties peuvent supporter l'intégralité des coûts du projet et donc soustraire d'autres parties à tout risque financier. Les contrats de recherche et la fourniture de services de recherche ne sont pas considérés com</w:t>
      </w:r>
      <w:r w:rsidRPr="006459B8">
        <w:rPr>
          <w:rFonts w:ascii="Arial" w:hAnsi="Arial" w:cs="Arial"/>
          <w:sz w:val="22"/>
        </w:rPr>
        <w:t xml:space="preserve">me des formes de collaboration. Source : </w:t>
      </w:r>
      <w:r w:rsidR="00C641D8" w:rsidRPr="006459B8">
        <w:rPr>
          <w:rFonts w:ascii="Arial" w:hAnsi="Arial" w:cs="Arial"/>
          <w:sz w:val="22"/>
          <w:szCs w:val="22"/>
        </w:rPr>
        <w:t>Règlement UE n°651/2014 dit RGEC art 2.90</w:t>
      </w:r>
    </w:p>
    <w:p w:rsidR="005930ED" w:rsidRDefault="005930ED" w:rsidP="00CC5F48">
      <w:pPr>
        <w:jc w:val="both"/>
        <w:rPr>
          <w:rFonts w:ascii="Arial" w:hAnsi="Arial" w:cs="Arial"/>
          <w:sz w:val="22"/>
          <w:szCs w:val="22"/>
        </w:rPr>
      </w:pPr>
    </w:p>
    <w:p w:rsidR="005930ED" w:rsidRPr="005930ED" w:rsidRDefault="005930ED" w:rsidP="00CC5F48">
      <w:pPr>
        <w:jc w:val="both"/>
        <w:rPr>
          <w:rFonts w:ascii="Arial" w:hAnsi="Arial" w:cs="Arial"/>
          <w:sz w:val="22"/>
          <w:szCs w:val="22"/>
        </w:rPr>
      </w:pPr>
      <w:r w:rsidRPr="00B54615">
        <w:rPr>
          <w:rFonts w:ascii="Arial" w:hAnsi="Arial" w:cs="Arial"/>
          <w:b/>
          <w:sz w:val="22"/>
          <w:szCs w:val="22"/>
        </w:rPr>
        <w:t>Coll</w:t>
      </w:r>
      <w:r w:rsidR="00A86538">
        <w:rPr>
          <w:rFonts w:ascii="Arial" w:hAnsi="Arial" w:cs="Arial"/>
          <w:b/>
          <w:sz w:val="22"/>
          <w:szCs w:val="22"/>
        </w:rPr>
        <w:t>aboration avec des entreprises</w:t>
      </w:r>
      <w:r>
        <w:rPr>
          <w:rFonts w:ascii="Arial" w:hAnsi="Arial" w:cs="Arial"/>
          <w:sz w:val="22"/>
          <w:szCs w:val="22"/>
        </w:rPr>
        <w:t xml:space="preserve"> : aucune </w:t>
      </w:r>
      <w:r w:rsidRPr="005930ED">
        <w:rPr>
          <w:rFonts w:ascii="Arial" w:hAnsi="Arial" w:cs="Arial"/>
          <w:sz w:val="22"/>
          <w:szCs w:val="22"/>
        </w:rPr>
        <w:t xml:space="preserve">aide indirecte </w:t>
      </w:r>
      <w:r>
        <w:rPr>
          <w:rFonts w:ascii="Arial" w:hAnsi="Arial" w:cs="Arial"/>
          <w:sz w:val="22"/>
          <w:szCs w:val="22"/>
        </w:rPr>
        <w:t xml:space="preserve">n’est versée </w:t>
      </w:r>
      <w:r w:rsidRPr="005930ED">
        <w:rPr>
          <w:rFonts w:ascii="Arial" w:hAnsi="Arial" w:cs="Arial"/>
          <w:sz w:val="22"/>
          <w:szCs w:val="22"/>
        </w:rPr>
        <w:t>aux entreprises si les prestations sont réalisées dans les conditions normales du marché:</w:t>
      </w:r>
    </w:p>
    <w:p w:rsidR="005930ED" w:rsidRPr="005930ED" w:rsidRDefault="005930ED" w:rsidP="00CC5F48">
      <w:pPr>
        <w:jc w:val="both"/>
        <w:rPr>
          <w:rFonts w:ascii="Arial" w:hAnsi="Arial" w:cs="Arial"/>
          <w:sz w:val="22"/>
          <w:szCs w:val="22"/>
        </w:rPr>
      </w:pPr>
      <w:r w:rsidRPr="005930ED">
        <w:rPr>
          <w:rFonts w:ascii="Arial" w:hAnsi="Arial" w:cs="Arial"/>
          <w:sz w:val="22"/>
          <w:szCs w:val="22"/>
        </w:rPr>
        <w:t>- les redevances à payer</w:t>
      </w:r>
      <w:r>
        <w:rPr>
          <w:rFonts w:ascii="Arial" w:hAnsi="Arial" w:cs="Arial"/>
          <w:sz w:val="22"/>
          <w:szCs w:val="22"/>
        </w:rPr>
        <w:t xml:space="preserve"> pour l'utilisation de l'</w:t>
      </w:r>
      <w:r w:rsidR="00B54615">
        <w:rPr>
          <w:rFonts w:ascii="Arial" w:hAnsi="Arial" w:cs="Arial"/>
          <w:sz w:val="22"/>
          <w:szCs w:val="22"/>
        </w:rPr>
        <w:t>infrastructure</w:t>
      </w:r>
      <w:r>
        <w:rPr>
          <w:rFonts w:ascii="Arial" w:hAnsi="Arial" w:cs="Arial"/>
          <w:sz w:val="22"/>
          <w:szCs w:val="22"/>
        </w:rPr>
        <w:t xml:space="preserve"> </w:t>
      </w:r>
      <w:r w:rsidRPr="005930ED">
        <w:rPr>
          <w:rFonts w:ascii="Arial" w:hAnsi="Arial" w:cs="Arial"/>
          <w:sz w:val="22"/>
          <w:szCs w:val="22"/>
        </w:rPr>
        <w:t>ont été fixées au moyen d'un appel d'offres</w:t>
      </w:r>
    </w:p>
    <w:p w:rsidR="005930ED" w:rsidRPr="005930ED" w:rsidRDefault="005930ED" w:rsidP="00CC5F48">
      <w:pPr>
        <w:jc w:val="both"/>
        <w:rPr>
          <w:rFonts w:ascii="Arial" w:hAnsi="Arial" w:cs="Arial"/>
          <w:sz w:val="22"/>
          <w:szCs w:val="22"/>
        </w:rPr>
      </w:pPr>
      <w:r w:rsidRPr="005930ED">
        <w:rPr>
          <w:rFonts w:ascii="Arial" w:hAnsi="Arial" w:cs="Arial"/>
          <w:sz w:val="22"/>
          <w:szCs w:val="22"/>
        </w:rPr>
        <w:t>- une analyse est conduite permettant de comparer son utilisation avec celle des exploitants privés, pour autant que la comparaison soit possible</w:t>
      </w:r>
    </w:p>
    <w:p w:rsidR="00B54615" w:rsidRDefault="005930ED" w:rsidP="00CC5F48">
      <w:pPr>
        <w:jc w:val="both"/>
        <w:rPr>
          <w:rFonts w:ascii="Arial" w:hAnsi="Arial" w:cs="Arial"/>
          <w:sz w:val="22"/>
          <w:szCs w:val="22"/>
        </w:rPr>
      </w:pPr>
      <w:r w:rsidRPr="005930ED">
        <w:rPr>
          <w:rFonts w:ascii="Arial" w:hAnsi="Arial" w:cs="Arial"/>
          <w:sz w:val="22"/>
          <w:szCs w:val="22"/>
        </w:rPr>
        <w:t xml:space="preserve">- si les utilisateurs contribuent, ex-ante, à la rentabilité du projet et/ou de l'exploitant. Tel est le cas pour des accords commerciaux permettant de supporter les couts générés par ces accords, en dégageant une marge raisonnable sur la base des perspectives à moyens termes. Cette appréciation doit tenir compte des recettes marginales et de tous les couts marginaux supportés par l'exploitant en liaison avec </w:t>
      </w:r>
      <w:r w:rsidR="00B54615">
        <w:rPr>
          <w:rFonts w:ascii="Arial" w:hAnsi="Arial" w:cs="Arial"/>
          <w:sz w:val="22"/>
          <w:szCs w:val="22"/>
        </w:rPr>
        <w:t>les activités de l'utilisateur.</w:t>
      </w:r>
    </w:p>
    <w:p w:rsidR="005930ED" w:rsidRPr="005930ED" w:rsidRDefault="005930ED" w:rsidP="00CC5F48">
      <w:pPr>
        <w:jc w:val="both"/>
        <w:rPr>
          <w:rFonts w:ascii="Arial" w:hAnsi="Arial" w:cs="Arial"/>
          <w:sz w:val="22"/>
          <w:szCs w:val="22"/>
        </w:rPr>
      </w:pPr>
      <w:r w:rsidRPr="005930ED">
        <w:rPr>
          <w:rFonts w:ascii="Arial" w:hAnsi="Arial" w:cs="Arial"/>
          <w:sz w:val="22"/>
          <w:szCs w:val="22"/>
        </w:rPr>
        <w:lastRenderedPageBreak/>
        <w:t>En l</w:t>
      </w:r>
      <w:r>
        <w:rPr>
          <w:rFonts w:ascii="Arial" w:hAnsi="Arial" w:cs="Arial"/>
          <w:sz w:val="22"/>
          <w:szCs w:val="22"/>
        </w:rPr>
        <w:t xml:space="preserve">'absence de prix du marché, l’infrastructure de </w:t>
      </w:r>
      <w:r w:rsidR="00B54615">
        <w:rPr>
          <w:rFonts w:ascii="Arial" w:hAnsi="Arial" w:cs="Arial"/>
          <w:sz w:val="22"/>
          <w:szCs w:val="22"/>
        </w:rPr>
        <w:t>recherche</w:t>
      </w:r>
      <w:r w:rsidRPr="005930ED">
        <w:rPr>
          <w:rFonts w:ascii="Arial" w:hAnsi="Arial" w:cs="Arial"/>
          <w:sz w:val="22"/>
          <w:szCs w:val="22"/>
        </w:rPr>
        <w:t xml:space="preserve"> fournira un prix qui:</w:t>
      </w:r>
    </w:p>
    <w:p w:rsidR="005930ED" w:rsidRPr="00B54615" w:rsidRDefault="005930ED" w:rsidP="00CC5F48">
      <w:pPr>
        <w:jc w:val="both"/>
        <w:rPr>
          <w:rFonts w:ascii="Arial" w:hAnsi="Arial" w:cs="Arial"/>
          <w:sz w:val="22"/>
          <w:szCs w:val="22"/>
          <w:u w:val="single"/>
        </w:rPr>
      </w:pPr>
      <w:r w:rsidRPr="00B54615">
        <w:rPr>
          <w:rFonts w:ascii="Arial" w:hAnsi="Arial" w:cs="Arial"/>
          <w:sz w:val="22"/>
          <w:szCs w:val="22"/>
          <w:u w:val="single"/>
        </w:rPr>
        <w:t xml:space="preserve">Pour la recherche contractuelle et les services de recherche: </w:t>
      </w:r>
    </w:p>
    <w:p w:rsidR="005930ED" w:rsidRPr="005930ED" w:rsidRDefault="005930ED" w:rsidP="00CC5F48">
      <w:pPr>
        <w:jc w:val="both"/>
        <w:rPr>
          <w:rFonts w:ascii="Arial" w:hAnsi="Arial" w:cs="Arial"/>
          <w:sz w:val="22"/>
          <w:szCs w:val="22"/>
        </w:rPr>
      </w:pPr>
      <w:r w:rsidRPr="005930ED">
        <w:rPr>
          <w:rFonts w:ascii="Arial" w:hAnsi="Arial" w:cs="Arial"/>
          <w:sz w:val="22"/>
          <w:szCs w:val="22"/>
        </w:rPr>
        <w:t xml:space="preserve">- prend en compte le cout du service et </w:t>
      </w:r>
      <w:r w:rsidR="00B54615" w:rsidRPr="005930ED">
        <w:rPr>
          <w:rFonts w:ascii="Arial" w:hAnsi="Arial" w:cs="Arial"/>
          <w:sz w:val="22"/>
          <w:szCs w:val="22"/>
        </w:rPr>
        <w:t>inclut</w:t>
      </w:r>
      <w:r w:rsidRPr="005930ED">
        <w:rPr>
          <w:rFonts w:ascii="Arial" w:hAnsi="Arial" w:cs="Arial"/>
          <w:sz w:val="22"/>
          <w:szCs w:val="22"/>
        </w:rPr>
        <w:t xml:space="preserve"> une marge établie sur base de celles appliquée par les entreprises dans le </w:t>
      </w:r>
      <w:r w:rsidR="00B54615" w:rsidRPr="005930ED">
        <w:rPr>
          <w:rFonts w:ascii="Arial" w:hAnsi="Arial" w:cs="Arial"/>
          <w:sz w:val="22"/>
          <w:szCs w:val="22"/>
        </w:rPr>
        <w:t>même</w:t>
      </w:r>
      <w:r w:rsidRPr="005930ED">
        <w:rPr>
          <w:rFonts w:ascii="Arial" w:hAnsi="Arial" w:cs="Arial"/>
          <w:sz w:val="22"/>
          <w:szCs w:val="22"/>
        </w:rPr>
        <w:t xml:space="preserve"> secteur</w:t>
      </w:r>
    </w:p>
    <w:p w:rsidR="005930ED" w:rsidRPr="00531C70" w:rsidRDefault="005930ED" w:rsidP="00CC5F48">
      <w:pPr>
        <w:jc w:val="both"/>
        <w:rPr>
          <w:rFonts w:ascii="Arial" w:hAnsi="Arial" w:cs="Arial"/>
          <w:sz w:val="22"/>
          <w:szCs w:val="22"/>
        </w:rPr>
      </w:pPr>
      <w:r w:rsidRPr="005930ED">
        <w:rPr>
          <w:rFonts w:ascii="Arial" w:hAnsi="Arial" w:cs="Arial"/>
          <w:sz w:val="22"/>
          <w:szCs w:val="22"/>
        </w:rPr>
        <w:t xml:space="preserve">- est le résultat de négociations menées dans des conditions de pleine concurrence au cours </w:t>
      </w:r>
      <w:r w:rsidR="00B54615" w:rsidRPr="005930ED">
        <w:rPr>
          <w:rFonts w:ascii="Arial" w:hAnsi="Arial" w:cs="Arial"/>
          <w:sz w:val="22"/>
          <w:szCs w:val="22"/>
        </w:rPr>
        <w:t>desquelles</w:t>
      </w:r>
      <w:r w:rsidRPr="005930ED">
        <w:rPr>
          <w:rFonts w:ascii="Arial" w:hAnsi="Arial" w:cs="Arial"/>
          <w:sz w:val="22"/>
          <w:szCs w:val="22"/>
        </w:rPr>
        <w:t xml:space="preserve"> l'I</w:t>
      </w:r>
      <w:r w:rsidR="00531C70">
        <w:rPr>
          <w:rFonts w:ascii="Arial" w:hAnsi="Arial" w:cs="Arial"/>
          <w:sz w:val="22"/>
          <w:szCs w:val="22"/>
        </w:rPr>
        <w:t>R</w:t>
      </w:r>
      <w:r w:rsidRPr="005930ED">
        <w:rPr>
          <w:rFonts w:ascii="Arial" w:hAnsi="Arial" w:cs="Arial"/>
          <w:sz w:val="22"/>
          <w:szCs w:val="22"/>
        </w:rPr>
        <w:t xml:space="preserve"> négocie afin d'obtenir un avantage maximal au moment de la conclusion du contrat</w:t>
      </w:r>
    </w:p>
    <w:p w:rsidR="005930ED" w:rsidRPr="00531C70" w:rsidRDefault="005930ED" w:rsidP="00CC5F48">
      <w:pPr>
        <w:jc w:val="both"/>
        <w:rPr>
          <w:rFonts w:ascii="Arial" w:hAnsi="Arial" w:cs="Arial"/>
          <w:sz w:val="22"/>
          <w:szCs w:val="22"/>
        </w:rPr>
      </w:pPr>
      <w:r w:rsidRPr="00531C70">
        <w:rPr>
          <w:rFonts w:ascii="Arial" w:hAnsi="Arial" w:cs="Arial"/>
          <w:sz w:val="22"/>
          <w:szCs w:val="22"/>
        </w:rPr>
        <w:t xml:space="preserve">Si les DPI restent acquis, ils peuvent </w:t>
      </w:r>
      <w:r w:rsidR="00B54615" w:rsidRPr="00531C70">
        <w:rPr>
          <w:rFonts w:ascii="Arial" w:hAnsi="Arial" w:cs="Arial"/>
          <w:sz w:val="22"/>
          <w:szCs w:val="22"/>
        </w:rPr>
        <w:t>être</w:t>
      </w:r>
      <w:r w:rsidRPr="00531C70">
        <w:rPr>
          <w:rFonts w:ascii="Arial" w:hAnsi="Arial" w:cs="Arial"/>
          <w:sz w:val="22"/>
          <w:szCs w:val="22"/>
        </w:rPr>
        <w:t xml:space="preserve"> déduits du prix payable.</w:t>
      </w:r>
    </w:p>
    <w:p w:rsidR="005930ED" w:rsidRPr="00B54615" w:rsidRDefault="005930ED" w:rsidP="00CC5F48">
      <w:pPr>
        <w:jc w:val="both"/>
        <w:rPr>
          <w:rFonts w:ascii="Arial" w:hAnsi="Arial" w:cs="Arial"/>
          <w:sz w:val="22"/>
          <w:szCs w:val="22"/>
          <w:u w:val="single"/>
        </w:rPr>
      </w:pPr>
      <w:r w:rsidRPr="00B54615">
        <w:rPr>
          <w:rFonts w:ascii="Arial" w:hAnsi="Arial" w:cs="Arial"/>
          <w:sz w:val="22"/>
          <w:szCs w:val="22"/>
          <w:u w:val="single"/>
        </w:rPr>
        <w:t>Pour les collaborations effectives:</w:t>
      </w:r>
    </w:p>
    <w:p w:rsidR="005930ED" w:rsidRPr="005930ED" w:rsidRDefault="005930ED" w:rsidP="00CC5F48">
      <w:pPr>
        <w:jc w:val="both"/>
        <w:rPr>
          <w:rFonts w:ascii="Arial" w:hAnsi="Arial" w:cs="Arial"/>
          <w:sz w:val="22"/>
          <w:szCs w:val="22"/>
        </w:rPr>
      </w:pPr>
      <w:r w:rsidRPr="005930ED">
        <w:rPr>
          <w:rFonts w:ascii="Arial" w:hAnsi="Arial" w:cs="Arial"/>
          <w:sz w:val="22"/>
          <w:szCs w:val="22"/>
        </w:rPr>
        <w:t>- le montant de la rémunération est fixé au moyen d'une procédure de vente concurrentielle</w:t>
      </w:r>
    </w:p>
    <w:p w:rsidR="005930ED" w:rsidRPr="005930ED" w:rsidRDefault="005930ED" w:rsidP="00CC5F48">
      <w:pPr>
        <w:jc w:val="both"/>
        <w:rPr>
          <w:rFonts w:ascii="Arial" w:hAnsi="Arial" w:cs="Arial"/>
          <w:sz w:val="22"/>
          <w:szCs w:val="22"/>
        </w:rPr>
      </w:pPr>
      <w:r w:rsidRPr="005930ED">
        <w:rPr>
          <w:rFonts w:ascii="Arial" w:hAnsi="Arial" w:cs="Arial"/>
          <w:sz w:val="22"/>
          <w:szCs w:val="22"/>
        </w:rPr>
        <w:t>- le prix est évalué par un expert indépendant</w:t>
      </w:r>
    </w:p>
    <w:p w:rsidR="005930ED" w:rsidRPr="005930ED" w:rsidRDefault="005930ED" w:rsidP="00CC5F48">
      <w:pPr>
        <w:jc w:val="both"/>
        <w:rPr>
          <w:rFonts w:ascii="Arial" w:hAnsi="Arial" w:cs="Arial"/>
          <w:sz w:val="22"/>
          <w:szCs w:val="22"/>
        </w:rPr>
      </w:pPr>
      <w:r w:rsidRPr="005930ED">
        <w:rPr>
          <w:rFonts w:ascii="Arial" w:hAnsi="Arial" w:cs="Arial"/>
          <w:sz w:val="22"/>
          <w:szCs w:val="22"/>
        </w:rPr>
        <w:t>- l'</w:t>
      </w:r>
      <w:r w:rsidR="00B54615">
        <w:rPr>
          <w:rFonts w:ascii="Arial" w:hAnsi="Arial" w:cs="Arial"/>
          <w:sz w:val="22"/>
          <w:szCs w:val="22"/>
        </w:rPr>
        <w:t>infrastructure</w:t>
      </w:r>
      <w:r w:rsidRPr="005930ED">
        <w:rPr>
          <w:rFonts w:ascii="Arial" w:hAnsi="Arial" w:cs="Arial"/>
          <w:sz w:val="22"/>
          <w:szCs w:val="22"/>
        </w:rPr>
        <w:t xml:space="preserve"> a négocié la rémunération</w:t>
      </w:r>
    </w:p>
    <w:p w:rsidR="005930ED" w:rsidRPr="006459B8" w:rsidRDefault="005930ED" w:rsidP="00CC5F48">
      <w:pPr>
        <w:jc w:val="both"/>
        <w:rPr>
          <w:rFonts w:ascii="Arial" w:hAnsi="Arial" w:cs="Arial"/>
          <w:sz w:val="22"/>
          <w:szCs w:val="22"/>
        </w:rPr>
      </w:pPr>
      <w:r w:rsidRPr="005930ED">
        <w:rPr>
          <w:rFonts w:ascii="Arial" w:hAnsi="Arial" w:cs="Arial"/>
          <w:sz w:val="22"/>
          <w:szCs w:val="22"/>
        </w:rPr>
        <w:t>- l'accord confère à l'entreprise le droit de premier refus des DPI</w:t>
      </w:r>
    </w:p>
    <w:p w:rsidR="005930ED" w:rsidRPr="006459B8" w:rsidRDefault="00B54615" w:rsidP="00CC5F48">
      <w:pPr>
        <w:jc w:val="both"/>
        <w:rPr>
          <w:rFonts w:ascii="Arial" w:hAnsi="Arial" w:cs="Arial"/>
          <w:sz w:val="22"/>
          <w:szCs w:val="22"/>
        </w:rPr>
      </w:pPr>
      <w:r>
        <w:rPr>
          <w:rFonts w:ascii="Arial" w:hAnsi="Arial" w:cs="Arial"/>
          <w:sz w:val="22"/>
          <w:szCs w:val="22"/>
        </w:rPr>
        <w:t xml:space="preserve">Source : </w:t>
      </w:r>
      <w:r w:rsidRPr="006459B8">
        <w:rPr>
          <w:rFonts w:ascii="Arial" w:hAnsi="Arial" w:cs="Arial"/>
          <w:sz w:val="22"/>
        </w:rPr>
        <w:t xml:space="preserve">Communication </w:t>
      </w:r>
      <w:r w:rsidRPr="006459B8">
        <w:rPr>
          <w:rFonts w:ascii="Arial" w:hAnsi="Arial" w:cs="Arial"/>
          <w:sz w:val="22"/>
          <w:szCs w:val="22"/>
        </w:rPr>
        <w:t xml:space="preserve">2014/C 198/01 </w:t>
      </w:r>
      <w:r w:rsidRPr="006459B8">
        <w:rPr>
          <w:rFonts w:ascii="Arial" w:hAnsi="Arial" w:cs="Arial"/>
          <w:sz w:val="22"/>
        </w:rPr>
        <w:t>dite C</w:t>
      </w:r>
      <w:r w:rsidRPr="006459B8">
        <w:rPr>
          <w:rFonts w:ascii="Arial" w:hAnsi="Arial" w:cs="Arial"/>
          <w:sz w:val="22"/>
          <w:szCs w:val="22"/>
        </w:rPr>
        <w:t>ommunication RDI</w:t>
      </w:r>
      <w:r w:rsidRPr="006459B8">
        <w:rPr>
          <w:rFonts w:ascii="Arial" w:hAnsi="Arial" w:cs="Arial"/>
          <w:sz w:val="22"/>
          <w:shd w:val="clear" w:color="auto" w:fill="FFFFFF"/>
        </w:rPr>
        <w:t xml:space="preserve"> </w:t>
      </w:r>
      <w:r>
        <w:rPr>
          <w:rFonts w:ascii="Arial" w:hAnsi="Arial" w:cs="Arial"/>
          <w:sz w:val="22"/>
          <w:szCs w:val="22"/>
          <w:shd w:val="clear" w:color="auto" w:fill="FFFFFF"/>
        </w:rPr>
        <w:t>point 2.2.2</w:t>
      </w:r>
    </w:p>
    <w:p w:rsidR="006459B8" w:rsidRPr="006459B8" w:rsidRDefault="006459B8" w:rsidP="00CC5F48">
      <w:pPr>
        <w:jc w:val="both"/>
        <w:rPr>
          <w:rFonts w:ascii="Arial" w:hAnsi="Arial" w:cs="Arial"/>
          <w:sz w:val="22"/>
          <w:szCs w:val="22"/>
        </w:rPr>
      </w:pPr>
    </w:p>
    <w:p w:rsidR="00C641D8" w:rsidRPr="006459B8" w:rsidRDefault="00A86538" w:rsidP="00CC5F48">
      <w:pPr>
        <w:jc w:val="both"/>
        <w:rPr>
          <w:rFonts w:ascii="Arial" w:hAnsi="Arial" w:cs="Arial"/>
          <w:sz w:val="22"/>
          <w:szCs w:val="22"/>
        </w:rPr>
      </w:pPr>
      <w:r>
        <w:rPr>
          <w:rFonts w:ascii="Arial" w:hAnsi="Arial" w:cs="Arial"/>
          <w:b/>
          <w:sz w:val="22"/>
        </w:rPr>
        <w:t>Communauté scientifique</w:t>
      </w:r>
      <w:r w:rsidR="00C71CF4" w:rsidRPr="006459B8">
        <w:rPr>
          <w:rFonts w:ascii="Arial" w:hAnsi="Arial" w:cs="Arial"/>
          <w:b/>
          <w:sz w:val="22"/>
        </w:rPr>
        <w:t> :</w:t>
      </w:r>
      <w:r w:rsidR="00C71CF4" w:rsidRPr="006459B8">
        <w:rPr>
          <w:rFonts w:ascii="Arial" w:hAnsi="Arial" w:cs="Arial"/>
          <w:sz w:val="22"/>
        </w:rPr>
        <w:t xml:space="preserve"> </w:t>
      </w:r>
      <w:r w:rsidR="00C641D8" w:rsidRPr="006459B8">
        <w:rPr>
          <w:rFonts w:ascii="Arial" w:hAnsi="Arial" w:cs="Arial"/>
          <w:sz w:val="22"/>
          <w:szCs w:val="22"/>
        </w:rPr>
        <w:t>toute structure ou groupe non structuré ou réseau de personnes exerçant une activité systématique d'acquisition des connaissances.</w:t>
      </w:r>
    </w:p>
    <w:p w:rsidR="006459B8" w:rsidRPr="006459B8" w:rsidRDefault="006459B8" w:rsidP="00CC5F48">
      <w:pPr>
        <w:jc w:val="both"/>
        <w:rPr>
          <w:rFonts w:ascii="Arial" w:hAnsi="Arial" w:cs="Arial"/>
          <w:sz w:val="22"/>
        </w:rPr>
      </w:pPr>
    </w:p>
    <w:p w:rsidR="00C71CF4" w:rsidRDefault="00C71CF4" w:rsidP="00CC5F48">
      <w:pPr>
        <w:jc w:val="both"/>
        <w:rPr>
          <w:rFonts w:ascii="Arial" w:hAnsi="Arial" w:cs="Arial"/>
          <w:sz w:val="22"/>
          <w:szCs w:val="22"/>
        </w:rPr>
      </w:pPr>
      <w:r w:rsidRPr="006459B8">
        <w:rPr>
          <w:rFonts w:ascii="Arial" w:hAnsi="Arial" w:cs="Arial"/>
          <w:b/>
          <w:sz w:val="22"/>
          <w:szCs w:val="22"/>
        </w:rPr>
        <w:t xml:space="preserve">Infrastructure de </w:t>
      </w:r>
      <w:r w:rsidR="00A86538">
        <w:rPr>
          <w:rFonts w:ascii="Arial" w:hAnsi="Arial" w:cs="Arial"/>
          <w:b/>
          <w:sz w:val="22"/>
          <w:szCs w:val="22"/>
        </w:rPr>
        <w:t>recherche</w:t>
      </w:r>
      <w:r w:rsidRPr="006459B8">
        <w:rPr>
          <w:rFonts w:ascii="Arial" w:hAnsi="Arial" w:cs="Arial"/>
          <w:sz w:val="22"/>
          <w:szCs w:val="22"/>
        </w:rPr>
        <w:t> : les installations, les ressources et les services associés utilisés par la communauté scientifique pour mener des recherches dans ses domaines de compétence. Cette définition englobe les équipements scientifiques et le matériel de recherche, les ressources cognitives comme les collections, les archives et les informations scientifiques structurées, les infrastructures habilitantes fondées sur les technologies de l'information et de la communication telles que le GRID, les infrastructures de calcul, les logiciels et les systèmes de communication, ainsi que tous les autres moyens nécessaires pour mener les recherches. Ces infrastructures peuvent être implantées sur un seul site ou être</w:t>
      </w:r>
      <w:r w:rsidRPr="006459B8">
        <w:rPr>
          <w:rFonts w:ascii="Arial" w:hAnsi="Arial" w:cs="Arial"/>
          <w:sz w:val="22"/>
        </w:rPr>
        <w:t xml:space="preserve"> « </w:t>
      </w:r>
      <w:r w:rsidR="00B54615" w:rsidRPr="006459B8">
        <w:rPr>
          <w:rFonts w:ascii="Arial" w:hAnsi="Arial" w:cs="Arial"/>
          <w:sz w:val="22"/>
        </w:rPr>
        <w:t>distribuées</w:t>
      </w:r>
      <w:r w:rsidR="00B54615" w:rsidRPr="006459B8">
        <w:rPr>
          <w:rFonts w:ascii="Arial" w:hAnsi="Arial" w:cs="Arial"/>
          <w:sz w:val="22"/>
          <w:szCs w:val="22"/>
        </w:rPr>
        <w:t xml:space="preserve"> »</w:t>
      </w:r>
      <w:r w:rsidRPr="006459B8">
        <w:rPr>
          <w:rFonts w:ascii="Arial" w:hAnsi="Arial" w:cs="Arial"/>
          <w:sz w:val="22"/>
          <w:szCs w:val="22"/>
        </w:rPr>
        <w:t xml:space="preserve"> (un réseau organisé de ressources) conformément à l'article 2, </w:t>
      </w:r>
      <w:proofErr w:type="gramStart"/>
      <w:r w:rsidR="000D7877" w:rsidRPr="006459B8">
        <w:rPr>
          <w:rFonts w:ascii="Arial" w:hAnsi="Arial" w:cs="Arial"/>
          <w:sz w:val="22"/>
          <w:szCs w:val="22"/>
        </w:rPr>
        <w:t>point a</w:t>
      </w:r>
      <w:proofErr w:type="gramEnd"/>
      <w:r w:rsidRPr="006459B8">
        <w:rPr>
          <w:rFonts w:ascii="Arial" w:hAnsi="Arial" w:cs="Arial"/>
          <w:sz w:val="22"/>
          <w:szCs w:val="22"/>
        </w:rPr>
        <w:t>), du règlement (CE) n</w:t>
      </w:r>
      <w:r w:rsidRPr="006459B8">
        <w:rPr>
          <w:rStyle w:val="super"/>
          <w:rFonts w:ascii="Arial" w:hAnsi="Arial" w:cs="Arial"/>
          <w:sz w:val="22"/>
          <w:szCs w:val="22"/>
        </w:rPr>
        <w:t>o</w:t>
      </w:r>
      <w:r w:rsidRPr="006459B8">
        <w:rPr>
          <w:rFonts w:ascii="Arial" w:hAnsi="Arial" w:cs="Arial"/>
          <w:sz w:val="22"/>
          <w:szCs w:val="22"/>
        </w:rPr>
        <w:t> 723/2009 du Conseil du 25 juin 2009 relatif à un cadre juridique communautaire applicable à un Consortium pour une infrastructure européenne de recherche (ERIC)</w:t>
      </w:r>
      <w:r w:rsidRPr="006459B8">
        <w:rPr>
          <w:rFonts w:ascii="Arial" w:hAnsi="Arial" w:cs="Arial"/>
          <w:sz w:val="22"/>
        </w:rPr>
        <w:t xml:space="preserve">. </w:t>
      </w:r>
      <w:r w:rsidRPr="006459B8">
        <w:rPr>
          <w:rFonts w:ascii="Arial" w:hAnsi="Arial" w:cs="Arial"/>
          <w:sz w:val="22"/>
          <w:szCs w:val="22"/>
        </w:rPr>
        <w:t>Source : Règlement UE n°651/2014 dit RGEC art 2.91</w:t>
      </w:r>
    </w:p>
    <w:p w:rsidR="00647BD4" w:rsidRPr="00647BD4" w:rsidRDefault="00647BD4" w:rsidP="00CC5F48">
      <w:pPr>
        <w:jc w:val="both"/>
        <w:rPr>
          <w:rFonts w:ascii="Arial" w:hAnsi="Arial" w:cs="Arial"/>
          <w:sz w:val="22"/>
          <w:szCs w:val="22"/>
        </w:rPr>
      </w:pPr>
    </w:p>
    <w:p w:rsidR="00647BD4" w:rsidRDefault="00647BD4" w:rsidP="00647BD4">
      <w:pPr>
        <w:jc w:val="both"/>
        <w:rPr>
          <w:rFonts w:ascii="Arial" w:hAnsi="Arial" w:cs="Arial"/>
          <w:b/>
          <w:sz w:val="22"/>
          <w:szCs w:val="22"/>
        </w:rPr>
      </w:pPr>
      <w:r w:rsidRPr="00647BD4">
        <w:rPr>
          <w:rFonts w:ascii="Arial" w:hAnsi="Arial" w:cs="Arial"/>
          <w:b/>
          <w:sz w:val="22"/>
          <w:szCs w:val="22"/>
        </w:rPr>
        <w:t xml:space="preserve">Méthodes d’appréciation d’une opération menée en pari </w:t>
      </w:r>
      <w:proofErr w:type="spellStart"/>
      <w:r w:rsidRPr="00647BD4">
        <w:rPr>
          <w:rFonts w:ascii="Arial" w:hAnsi="Arial" w:cs="Arial"/>
          <w:b/>
          <w:sz w:val="22"/>
          <w:szCs w:val="22"/>
        </w:rPr>
        <w:t>passu</w:t>
      </w:r>
      <w:proofErr w:type="spellEnd"/>
      <w:r>
        <w:rPr>
          <w:rFonts w:ascii="Arial" w:hAnsi="Arial" w:cs="Arial"/>
          <w:b/>
          <w:sz w:val="22"/>
          <w:szCs w:val="22"/>
        </w:rPr>
        <w:t> :</w:t>
      </w:r>
    </w:p>
    <w:p w:rsidR="00647BD4" w:rsidRDefault="00647BD4" w:rsidP="00647BD4">
      <w:pPr>
        <w:jc w:val="both"/>
        <w:rPr>
          <w:rFonts w:ascii="Arial" w:hAnsi="Arial" w:cs="Arial"/>
          <w:sz w:val="22"/>
          <w:szCs w:val="22"/>
        </w:rPr>
      </w:pPr>
      <w:r w:rsidRPr="00647BD4">
        <w:rPr>
          <w:rFonts w:ascii="Arial" w:hAnsi="Arial" w:cs="Arial"/>
          <w:sz w:val="22"/>
          <w:szCs w:val="22"/>
        </w:rPr>
        <w:t>La Commission européenne reconnaît deux méthodes :</w:t>
      </w:r>
    </w:p>
    <w:p w:rsidR="00647BD4" w:rsidRPr="00647BD4" w:rsidRDefault="00647BD4" w:rsidP="00647BD4">
      <w:pPr>
        <w:jc w:val="both"/>
        <w:rPr>
          <w:rFonts w:ascii="Arial" w:hAnsi="Arial" w:cs="Arial"/>
          <w:sz w:val="22"/>
          <w:szCs w:val="22"/>
        </w:rPr>
      </w:pPr>
    </w:p>
    <w:p w:rsidR="00647BD4" w:rsidRPr="00647BD4" w:rsidRDefault="00647BD4" w:rsidP="00647BD4">
      <w:pPr>
        <w:pStyle w:val="Paragraphedeliste"/>
        <w:numPr>
          <w:ilvl w:val="0"/>
          <w:numId w:val="14"/>
        </w:numPr>
        <w:autoSpaceDE w:val="0"/>
        <w:autoSpaceDN w:val="0"/>
        <w:adjustRightInd w:val="0"/>
        <w:ind w:left="0" w:firstLine="0"/>
        <w:jc w:val="both"/>
        <w:rPr>
          <w:rFonts w:ascii="Arial" w:hAnsi="Arial" w:cs="Arial"/>
          <w:sz w:val="22"/>
          <w:szCs w:val="22"/>
        </w:rPr>
      </w:pPr>
      <w:r w:rsidRPr="00647BD4">
        <w:rPr>
          <w:rFonts w:ascii="Arial" w:hAnsi="Arial" w:cs="Arial"/>
          <w:sz w:val="22"/>
          <w:szCs w:val="22"/>
        </w:rPr>
        <w:t>L’analyse comparative peut se faire en examinant les conditions dans lesquelles des opérations similaires réalisées par des opérateurs privés se sont déroulées dans des situations équivalentes.</w:t>
      </w:r>
      <w:r>
        <w:rPr>
          <w:rFonts w:ascii="Arial" w:hAnsi="Arial" w:cs="Arial"/>
          <w:sz w:val="22"/>
          <w:szCs w:val="22"/>
        </w:rPr>
        <w:t xml:space="preserve"> </w:t>
      </w:r>
      <w:r w:rsidRPr="00647BD4">
        <w:rPr>
          <w:rFonts w:ascii="Arial" w:hAnsi="Arial" w:cs="Arial"/>
          <w:sz w:val="22"/>
          <w:szCs w:val="22"/>
        </w:rPr>
        <w:t>Pour sélectionner des opérations de référence adéquates, il convient d'accorder une attention particulière :</w:t>
      </w:r>
    </w:p>
    <w:p w:rsidR="00647BD4" w:rsidRPr="00647BD4" w:rsidRDefault="00647BD4" w:rsidP="00647BD4">
      <w:pPr>
        <w:pStyle w:val="Paragraphedeliste"/>
        <w:numPr>
          <w:ilvl w:val="0"/>
          <w:numId w:val="11"/>
        </w:numPr>
        <w:autoSpaceDE w:val="0"/>
        <w:autoSpaceDN w:val="0"/>
        <w:adjustRightInd w:val="0"/>
        <w:ind w:left="0" w:firstLine="0"/>
        <w:jc w:val="both"/>
        <w:rPr>
          <w:rFonts w:ascii="Arial" w:hAnsi="Arial" w:cs="Arial"/>
          <w:sz w:val="22"/>
          <w:szCs w:val="22"/>
        </w:rPr>
      </w:pPr>
      <w:proofErr w:type="gramStart"/>
      <w:r w:rsidRPr="00647BD4">
        <w:rPr>
          <w:rFonts w:ascii="Arial" w:hAnsi="Arial" w:cs="Arial"/>
          <w:sz w:val="22"/>
          <w:szCs w:val="22"/>
        </w:rPr>
        <w:t>au</w:t>
      </w:r>
      <w:proofErr w:type="gramEnd"/>
      <w:r w:rsidRPr="00647BD4">
        <w:rPr>
          <w:rFonts w:ascii="Arial" w:hAnsi="Arial" w:cs="Arial"/>
          <w:sz w:val="22"/>
          <w:szCs w:val="22"/>
        </w:rPr>
        <w:t xml:space="preserve"> type d'opérateur concerné (ex.: holding de groupe, fonds spéculatif ou investisseur à long terme), </w:t>
      </w:r>
    </w:p>
    <w:p w:rsidR="00647BD4" w:rsidRPr="00647BD4" w:rsidRDefault="00647BD4" w:rsidP="00647BD4">
      <w:pPr>
        <w:pStyle w:val="Paragraphedeliste"/>
        <w:numPr>
          <w:ilvl w:val="0"/>
          <w:numId w:val="11"/>
        </w:numPr>
        <w:autoSpaceDE w:val="0"/>
        <w:autoSpaceDN w:val="0"/>
        <w:adjustRightInd w:val="0"/>
        <w:ind w:left="0" w:firstLine="0"/>
        <w:jc w:val="both"/>
        <w:rPr>
          <w:rFonts w:ascii="Arial" w:hAnsi="Arial" w:cs="Arial"/>
          <w:sz w:val="22"/>
          <w:szCs w:val="22"/>
        </w:rPr>
      </w:pPr>
      <w:proofErr w:type="gramStart"/>
      <w:r w:rsidRPr="00647BD4">
        <w:rPr>
          <w:rFonts w:ascii="Arial" w:hAnsi="Arial" w:cs="Arial"/>
          <w:sz w:val="22"/>
          <w:szCs w:val="22"/>
        </w:rPr>
        <w:t>à</w:t>
      </w:r>
      <w:proofErr w:type="gramEnd"/>
      <w:r w:rsidRPr="00647BD4">
        <w:rPr>
          <w:rFonts w:ascii="Arial" w:hAnsi="Arial" w:cs="Arial"/>
          <w:sz w:val="22"/>
          <w:szCs w:val="22"/>
        </w:rPr>
        <w:t xml:space="preserve"> la nature de l'opération en cause (ex.: prise de participation en fonds propres ou opération de prêt) </w:t>
      </w:r>
    </w:p>
    <w:p w:rsidR="00647BD4" w:rsidRPr="00647BD4" w:rsidRDefault="00647BD4" w:rsidP="00647BD4">
      <w:pPr>
        <w:pStyle w:val="Paragraphedeliste"/>
        <w:numPr>
          <w:ilvl w:val="0"/>
          <w:numId w:val="11"/>
        </w:numPr>
        <w:autoSpaceDE w:val="0"/>
        <w:autoSpaceDN w:val="0"/>
        <w:adjustRightInd w:val="0"/>
        <w:ind w:left="0" w:firstLine="0"/>
        <w:jc w:val="both"/>
        <w:rPr>
          <w:rFonts w:ascii="Arial" w:hAnsi="Arial" w:cs="Arial"/>
          <w:sz w:val="22"/>
          <w:szCs w:val="22"/>
        </w:rPr>
      </w:pPr>
      <w:proofErr w:type="gramStart"/>
      <w:r w:rsidRPr="00647BD4">
        <w:rPr>
          <w:rFonts w:ascii="Arial" w:hAnsi="Arial" w:cs="Arial"/>
          <w:sz w:val="22"/>
          <w:szCs w:val="22"/>
        </w:rPr>
        <w:t>aux</w:t>
      </w:r>
      <w:proofErr w:type="gramEnd"/>
      <w:r w:rsidRPr="00647BD4">
        <w:rPr>
          <w:rFonts w:ascii="Arial" w:hAnsi="Arial" w:cs="Arial"/>
          <w:sz w:val="22"/>
          <w:szCs w:val="22"/>
        </w:rPr>
        <w:t xml:space="preserve"> marchés concernés (ex.: marchés financiers, marchés de technologies à croissante rapide, marchés de services d'utilité publique ou marchés d'infrastructures).</w:t>
      </w:r>
    </w:p>
    <w:p w:rsidR="00647BD4" w:rsidRPr="00647BD4" w:rsidRDefault="00647BD4" w:rsidP="00647BD4">
      <w:pPr>
        <w:pStyle w:val="Paragraphedeliste"/>
        <w:numPr>
          <w:ilvl w:val="0"/>
          <w:numId w:val="11"/>
        </w:numPr>
        <w:autoSpaceDE w:val="0"/>
        <w:autoSpaceDN w:val="0"/>
        <w:adjustRightInd w:val="0"/>
        <w:ind w:left="0" w:firstLine="0"/>
        <w:jc w:val="both"/>
        <w:rPr>
          <w:rFonts w:ascii="Arial" w:hAnsi="Arial" w:cs="Arial"/>
          <w:sz w:val="22"/>
          <w:szCs w:val="22"/>
        </w:rPr>
      </w:pPr>
      <w:proofErr w:type="gramStart"/>
      <w:r w:rsidRPr="00647BD4">
        <w:rPr>
          <w:rFonts w:ascii="Arial" w:hAnsi="Arial" w:cs="Arial"/>
          <w:sz w:val="22"/>
          <w:szCs w:val="22"/>
        </w:rPr>
        <w:t>le</w:t>
      </w:r>
      <w:proofErr w:type="gramEnd"/>
      <w:r w:rsidRPr="00647BD4">
        <w:rPr>
          <w:rFonts w:ascii="Arial" w:hAnsi="Arial" w:cs="Arial"/>
          <w:sz w:val="22"/>
          <w:szCs w:val="22"/>
        </w:rPr>
        <w:t xml:space="preserve"> moment où ces opérations se produisent. </w:t>
      </w:r>
    </w:p>
    <w:p w:rsidR="00647BD4" w:rsidRDefault="00647BD4" w:rsidP="00647BD4">
      <w:pPr>
        <w:autoSpaceDE w:val="0"/>
        <w:autoSpaceDN w:val="0"/>
        <w:adjustRightInd w:val="0"/>
        <w:jc w:val="both"/>
        <w:rPr>
          <w:rFonts w:ascii="Arial" w:hAnsi="Arial" w:cs="Arial"/>
          <w:sz w:val="22"/>
          <w:szCs w:val="22"/>
        </w:rPr>
      </w:pPr>
      <w:r w:rsidRPr="00647BD4">
        <w:rPr>
          <w:rFonts w:ascii="Arial" w:hAnsi="Arial" w:cs="Arial"/>
          <w:sz w:val="22"/>
          <w:szCs w:val="22"/>
        </w:rPr>
        <w:t>L'évaluation comparative ne permet généralement pas de parvenir à une valeur de référence</w:t>
      </w:r>
      <w:r w:rsidRPr="00647BD4">
        <w:rPr>
          <w:rFonts w:ascii="Arial" w:hAnsi="Arial" w:cs="Arial"/>
          <w:sz w:val="22"/>
          <w:szCs w:val="22"/>
        </w:rPr>
        <w:t xml:space="preserve"> « précise »</w:t>
      </w:r>
      <w:r w:rsidRPr="00647BD4">
        <w:rPr>
          <w:rFonts w:ascii="Arial" w:hAnsi="Arial" w:cs="Arial"/>
          <w:sz w:val="22"/>
          <w:szCs w:val="22"/>
        </w:rPr>
        <w:t>, mais plutôt à une fourchette de valeurs possibles établie sur la base d'un ens</w:t>
      </w:r>
      <w:r>
        <w:rPr>
          <w:rFonts w:ascii="Arial" w:hAnsi="Arial" w:cs="Arial"/>
          <w:sz w:val="22"/>
          <w:szCs w:val="22"/>
        </w:rPr>
        <w:t xml:space="preserve">emble d'opérations comparables. </w:t>
      </w:r>
    </w:p>
    <w:p w:rsidR="00647BD4" w:rsidRPr="00647BD4" w:rsidRDefault="00647BD4" w:rsidP="00647BD4">
      <w:pPr>
        <w:autoSpaceDE w:val="0"/>
        <w:autoSpaceDN w:val="0"/>
        <w:adjustRightInd w:val="0"/>
        <w:jc w:val="both"/>
        <w:rPr>
          <w:rFonts w:ascii="Arial" w:hAnsi="Arial" w:cs="Arial"/>
          <w:sz w:val="22"/>
          <w:szCs w:val="22"/>
        </w:rPr>
      </w:pPr>
    </w:p>
    <w:p w:rsidR="00647BD4" w:rsidRPr="00647BD4" w:rsidRDefault="00647BD4" w:rsidP="00647BD4">
      <w:pPr>
        <w:pStyle w:val="Paragraphedeliste"/>
        <w:numPr>
          <w:ilvl w:val="0"/>
          <w:numId w:val="14"/>
        </w:numPr>
        <w:autoSpaceDE w:val="0"/>
        <w:autoSpaceDN w:val="0"/>
        <w:adjustRightInd w:val="0"/>
        <w:ind w:left="0" w:firstLine="0"/>
        <w:jc w:val="both"/>
        <w:rPr>
          <w:rFonts w:ascii="Arial" w:hAnsi="Arial" w:cs="Arial"/>
          <w:sz w:val="22"/>
          <w:szCs w:val="22"/>
        </w:rPr>
      </w:pPr>
      <w:r w:rsidRPr="00647BD4">
        <w:rPr>
          <w:rFonts w:ascii="Arial" w:hAnsi="Arial" w:cs="Arial"/>
          <w:sz w:val="22"/>
          <w:szCs w:val="22"/>
        </w:rPr>
        <w:t>La méthode d'évaluation standard</w:t>
      </w:r>
      <w:r w:rsidRPr="00647BD4">
        <w:rPr>
          <w:rFonts w:ascii="Arial" w:hAnsi="Arial" w:cs="Arial"/>
          <w:b/>
          <w:sz w:val="22"/>
          <w:szCs w:val="22"/>
        </w:rPr>
        <w:t> </w:t>
      </w:r>
      <w:r w:rsidRPr="00647BD4">
        <w:rPr>
          <w:rFonts w:ascii="Arial" w:hAnsi="Arial" w:cs="Arial"/>
          <w:sz w:val="22"/>
          <w:szCs w:val="22"/>
        </w:rPr>
        <w:t xml:space="preserve">(ex ante) doit être fondée sur des données disponibles objectives, vérifiables et fiables, qui devraient être suffisamment détaillées et refléter la situation économique au moment où l'opération a été décidée, en tenant compte du niveau de risque et des attentes (corroborée par une analyse de sensibilité, l'appréciation de différents scénarios commerciaux, l'élaboration de plans d'urgence et une comparaison des résultats obtenu avec d’autres méthodes, etc.). </w:t>
      </w:r>
    </w:p>
    <w:p w:rsidR="00647BD4" w:rsidRPr="00647BD4" w:rsidRDefault="00647BD4" w:rsidP="00647BD4">
      <w:pPr>
        <w:autoSpaceDE w:val="0"/>
        <w:autoSpaceDN w:val="0"/>
        <w:adjustRightInd w:val="0"/>
        <w:jc w:val="both"/>
        <w:rPr>
          <w:rFonts w:ascii="Arial" w:hAnsi="Arial" w:cs="Arial"/>
          <w:sz w:val="22"/>
          <w:szCs w:val="22"/>
        </w:rPr>
      </w:pPr>
      <w:r w:rsidRPr="00647BD4">
        <w:rPr>
          <w:rFonts w:ascii="Arial" w:hAnsi="Arial" w:cs="Arial"/>
          <w:sz w:val="22"/>
          <w:szCs w:val="22"/>
        </w:rPr>
        <w:lastRenderedPageBreak/>
        <w:t>A titre d’exemple, dans le cas d'une vente de terrains, une évaluation réalisée par un expert indépendant, préalablement aux négociations précédant la vente, pour fixer la valeur marchande sur la base d'indicateurs du marché et de critères d'évaluation communément acceptés est en principe satisfaisante.</w:t>
      </w:r>
    </w:p>
    <w:p w:rsidR="00647BD4" w:rsidRPr="00647BD4" w:rsidRDefault="00647BD4" w:rsidP="00647BD4">
      <w:pPr>
        <w:autoSpaceDE w:val="0"/>
        <w:autoSpaceDN w:val="0"/>
        <w:adjustRightInd w:val="0"/>
        <w:jc w:val="both"/>
        <w:rPr>
          <w:rFonts w:ascii="Arial" w:hAnsi="Arial" w:cs="Arial"/>
          <w:sz w:val="22"/>
          <w:szCs w:val="22"/>
        </w:rPr>
      </w:pPr>
      <w:r w:rsidRPr="00647BD4">
        <w:rPr>
          <w:rFonts w:ascii="Arial" w:hAnsi="Arial" w:cs="Arial"/>
          <w:sz w:val="22"/>
          <w:szCs w:val="22"/>
        </w:rPr>
        <w:t xml:space="preserve">Pour déterminer le rendement annuel d'un investissement, il convient de calculer le taux de rendement interne et/ ou la valeur actuelle nette (VAN), ce qui aboutit dans la plupart des cas à un résultat équivalent à celui du taux de rendement interne. </w:t>
      </w:r>
    </w:p>
    <w:p w:rsidR="00647BD4" w:rsidRPr="00647BD4" w:rsidRDefault="00647BD4" w:rsidP="00647BD4">
      <w:pPr>
        <w:autoSpaceDE w:val="0"/>
        <w:autoSpaceDN w:val="0"/>
        <w:adjustRightInd w:val="0"/>
        <w:jc w:val="both"/>
        <w:rPr>
          <w:rFonts w:ascii="Arial" w:hAnsi="Arial" w:cs="Arial"/>
          <w:sz w:val="22"/>
          <w:szCs w:val="22"/>
        </w:rPr>
      </w:pPr>
      <w:r w:rsidRPr="00647BD4">
        <w:rPr>
          <w:rFonts w:ascii="Arial" w:hAnsi="Arial" w:cs="Arial"/>
          <w:sz w:val="22"/>
          <w:szCs w:val="22"/>
        </w:rPr>
        <w:t>Les méthodes de calcul du taux de rendement interne ou de la VAN d'un investissement n'aboutissent généralement pas à une valeur précise qui pourrait être acceptée, mais plutôt à une fourchette de valeurs possibles.</w:t>
      </w:r>
    </w:p>
    <w:p w:rsidR="00647BD4" w:rsidRDefault="00647BD4" w:rsidP="00647BD4">
      <w:pPr>
        <w:autoSpaceDE w:val="0"/>
        <w:autoSpaceDN w:val="0"/>
        <w:adjustRightInd w:val="0"/>
        <w:jc w:val="both"/>
        <w:rPr>
          <w:rFonts w:ascii="Arial" w:hAnsi="Arial" w:cs="Arial"/>
          <w:sz w:val="22"/>
          <w:szCs w:val="22"/>
        </w:rPr>
      </w:pPr>
      <w:r w:rsidRPr="00647BD4">
        <w:rPr>
          <w:rFonts w:ascii="Arial" w:hAnsi="Arial" w:cs="Arial"/>
          <w:sz w:val="22"/>
          <w:szCs w:val="22"/>
        </w:rPr>
        <w:t xml:space="preserve">Les opérateurs en économie de marché avisés évaluent généralement leurs interventions en recourant à plusieurs méthodes pour corroborer les estimations. Le fait que les différentes méthodes convergent vers une même valeur constitue une indication supplémentaire à prendre en compte dans l'élaboration d'un prix qui soit véritablement celui du marché. </w:t>
      </w:r>
    </w:p>
    <w:p w:rsidR="00647BD4" w:rsidRPr="00EE3E30" w:rsidRDefault="00647BD4" w:rsidP="00EE3E30">
      <w:pPr>
        <w:rPr>
          <w:rFonts w:ascii="Arial" w:hAnsi="Arial" w:cs="Arial"/>
          <w:b/>
          <w:sz w:val="22"/>
          <w:szCs w:val="22"/>
        </w:rPr>
      </w:pPr>
      <w:r>
        <w:rPr>
          <w:rFonts w:ascii="Arial" w:hAnsi="Arial" w:cs="Arial"/>
          <w:sz w:val="22"/>
          <w:szCs w:val="22"/>
        </w:rPr>
        <w:t xml:space="preserve">Source : </w:t>
      </w:r>
      <w:r w:rsidR="00EE3E30" w:rsidRPr="00EE3E30">
        <w:rPr>
          <w:rFonts w:ascii="Arial" w:hAnsi="Arial" w:cs="Arial"/>
          <w:sz w:val="22"/>
          <w:szCs w:val="22"/>
        </w:rPr>
        <w:t xml:space="preserve">Communication </w:t>
      </w:r>
      <w:r w:rsidR="00EE3E30" w:rsidRPr="00EE3E30">
        <w:rPr>
          <w:rFonts w:ascii="Arial" w:hAnsi="Arial" w:cs="Arial"/>
          <w:sz w:val="22"/>
          <w:szCs w:val="22"/>
          <w:shd w:val="clear" w:color="auto" w:fill="FFFFFF"/>
        </w:rPr>
        <w:t>2016/C 262/01</w:t>
      </w:r>
      <w:r w:rsidR="00EE3E30" w:rsidRPr="003646FD">
        <w:rPr>
          <w:sz w:val="27"/>
          <w:szCs w:val="27"/>
          <w:shd w:val="clear" w:color="auto" w:fill="FFFFFF"/>
        </w:rPr>
        <w:t xml:space="preserve"> </w:t>
      </w:r>
      <w:r w:rsidR="00EE3E30" w:rsidRPr="00C74CF1">
        <w:rPr>
          <w:rFonts w:ascii="Arial" w:hAnsi="Arial" w:cs="Arial"/>
          <w:sz w:val="22"/>
          <w:szCs w:val="22"/>
        </w:rPr>
        <w:t>relative à la Notion d’Aide d’Etat (</w:t>
      </w:r>
      <w:proofErr w:type="spellStart"/>
      <w:r w:rsidR="00EE3E30" w:rsidRPr="00C74CF1">
        <w:rPr>
          <w:rFonts w:ascii="Arial" w:hAnsi="Arial" w:cs="Arial"/>
          <w:sz w:val="22"/>
          <w:szCs w:val="22"/>
        </w:rPr>
        <w:t>NoA</w:t>
      </w:r>
      <w:proofErr w:type="spellEnd"/>
      <w:r w:rsidR="00EE3E30" w:rsidRPr="00C74CF1">
        <w:rPr>
          <w:rFonts w:ascii="Arial" w:hAnsi="Arial" w:cs="Arial"/>
          <w:sz w:val="22"/>
          <w:szCs w:val="22"/>
        </w:rPr>
        <w:t>)</w:t>
      </w:r>
      <w:r w:rsidR="00EE3E30">
        <w:rPr>
          <w:rFonts w:ascii="Arial" w:hAnsi="Arial" w:cs="Arial"/>
          <w:sz w:val="22"/>
          <w:szCs w:val="22"/>
        </w:rPr>
        <w:t xml:space="preserve"> point 4.2.3.2</w:t>
      </w:r>
    </w:p>
    <w:p w:rsidR="006459B8" w:rsidRPr="006459B8" w:rsidRDefault="006459B8" w:rsidP="00CC5F48">
      <w:pPr>
        <w:jc w:val="both"/>
        <w:rPr>
          <w:rFonts w:ascii="Arial" w:hAnsi="Arial" w:cs="Arial"/>
          <w:sz w:val="22"/>
          <w:szCs w:val="22"/>
        </w:rPr>
      </w:pPr>
    </w:p>
    <w:p w:rsidR="00C71CF4" w:rsidRDefault="00C71CF4" w:rsidP="00CC5F48">
      <w:pPr>
        <w:jc w:val="both"/>
        <w:rPr>
          <w:rFonts w:ascii="Arial" w:hAnsi="Arial" w:cs="Arial"/>
          <w:sz w:val="22"/>
          <w:szCs w:val="22"/>
        </w:rPr>
      </w:pPr>
      <w:r w:rsidRPr="006459B8">
        <w:rPr>
          <w:rFonts w:ascii="Arial" w:hAnsi="Arial" w:cs="Arial"/>
          <w:b/>
          <w:sz w:val="22"/>
          <w:szCs w:val="22"/>
        </w:rPr>
        <w:t xml:space="preserve">Organisme </w:t>
      </w:r>
      <w:r w:rsidRPr="006459B8">
        <w:rPr>
          <w:rFonts w:ascii="Arial" w:hAnsi="Arial" w:cs="Arial"/>
          <w:b/>
          <w:sz w:val="22"/>
        </w:rPr>
        <w:t>d</w:t>
      </w:r>
      <w:r w:rsidRPr="006459B8">
        <w:rPr>
          <w:rFonts w:ascii="Arial" w:hAnsi="Arial" w:cs="Arial"/>
          <w:b/>
          <w:sz w:val="22"/>
          <w:szCs w:val="22"/>
        </w:rPr>
        <w:t xml:space="preserve">e recherche et </w:t>
      </w:r>
      <w:r w:rsidR="00A86538">
        <w:rPr>
          <w:rFonts w:ascii="Arial" w:hAnsi="Arial" w:cs="Arial"/>
          <w:b/>
          <w:sz w:val="22"/>
          <w:szCs w:val="22"/>
        </w:rPr>
        <w:t>de diffusion des connaissances </w:t>
      </w:r>
      <w:r w:rsidR="00A86538" w:rsidRPr="006459B8">
        <w:rPr>
          <w:rFonts w:ascii="Arial" w:hAnsi="Arial" w:cs="Arial"/>
          <w:sz w:val="22"/>
          <w:szCs w:val="22"/>
        </w:rPr>
        <w:t>:</w:t>
      </w:r>
      <w:r w:rsidRPr="006459B8">
        <w:rPr>
          <w:rFonts w:ascii="Arial" w:hAnsi="Arial" w:cs="Arial"/>
          <w:sz w:val="22"/>
          <w:szCs w:val="22"/>
        </w:rPr>
        <w:t xml:space="preserve"> entité, quel que soit son statut légal ou son mode de financement dont le but premier est d’exercer, en toute indépendance, des activités de recherche fondamentale, de recherche industrielle ou de développement expérimental ou de diffuser largement les résultats de ces activités au moyen d'un enseignement, de publication et transfert de connaissance. Lorsqu'une telle entité exerce des activités économiques, le financement, les couts et les revenus doivent </w:t>
      </w:r>
      <w:r w:rsidRPr="006459B8">
        <w:rPr>
          <w:rFonts w:ascii="Arial" w:hAnsi="Arial" w:cs="Arial"/>
          <w:sz w:val="22"/>
        </w:rPr>
        <w:t>être</w:t>
      </w:r>
      <w:r w:rsidRPr="006459B8">
        <w:rPr>
          <w:rFonts w:ascii="Arial" w:hAnsi="Arial" w:cs="Arial"/>
          <w:sz w:val="22"/>
          <w:szCs w:val="22"/>
        </w:rPr>
        <w:t xml:space="preserve"> comptabilisés séparément. Les entreprises qui </w:t>
      </w:r>
      <w:r w:rsidRPr="006459B8">
        <w:rPr>
          <w:rFonts w:ascii="Arial" w:hAnsi="Arial" w:cs="Arial"/>
          <w:sz w:val="22"/>
        </w:rPr>
        <w:t>peuvent</w:t>
      </w:r>
      <w:r w:rsidRPr="006459B8">
        <w:rPr>
          <w:rFonts w:ascii="Arial" w:hAnsi="Arial" w:cs="Arial"/>
          <w:sz w:val="22"/>
          <w:szCs w:val="22"/>
        </w:rPr>
        <w:t xml:space="preserve"> exercer une influence déterm</w:t>
      </w:r>
      <w:r w:rsidRPr="006459B8">
        <w:rPr>
          <w:rFonts w:ascii="Arial" w:hAnsi="Arial" w:cs="Arial"/>
          <w:sz w:val="22"/>
        </w:rPr>
        <w:t>inante sur une telle entité, par</w:t>
      </w:r>
      <w:r w:rsidRPr="006459B8">
        <w:rPr>
          <w:rFonts w:ascii="Arial" w:hAnsi="Arial" w:cs="Arial"/>
          <w:sz w:val="22"/>
          <w:szCs w:val="22"/>
        </w:rPr>
        <w:t xml:space="preserve"> </w:t>
      </w:r>
      <w:r w:rsidRPr="006459B8">
        <w:rPr>
          <w:rFonts w:ascii="Arial" w:hAnsi="Arial" w:cs="Arial"/>
          <w:sz w:val="22"/>
        </w:rPr>
        <w:t>exemple</w:t>
      </w:r>
      <w:r w:rsidRPr="006459B8">
        <w:rPr>
          <w:rFonts w:ascii="Arial" w:hAnsi="Arial" w:cs="Arial"/>
          <w:sz w:val="22"/>
          <w:szCs w:val="22"/>
        </w:rPr>
        <w:t xml:space="preserve"> en leur qualité d’actionnaire ou d’associé, ne peuvent pas bénéficier d’un accès privilégié aux résultats qu’elle produit</w:t>
      </w:r>
      <w:r w:rsidRPr="006459B8">
        <w:rPr>
          <w:rFonts w:ascii="Arial" w:hAnsi="Arial" w:cs="Arial"/>
          <w:sz w:val="22"/>
        </w:rPr>
        <w:t xml:space="preserve">. </w:t>
      </w:r>
      <w:r w:rsidRPr="006459B8">
        <w:rPr>
          <w:rFonts w:ascii="Arial" w:hAnsi="Arial" w:cs="Arial"/>
          <w:sz w:val="22"/>
          <w:szCs w:val="22"/>
        </w:rPr>
        <w:t xml:space="preserve">Source : Règlement UE n°651/2014 dit RGEC art 2.83 </w:t>
      </w:r>
    </w:p>
    <w:p w:rsidR="00BB1200" w:rsidRDefault="00BB1200" w:rsidP="00CC5F48">
      <w:pPr>
        <w:jc w:val="both"/>
        <w:rPr>
          <w:rFonts w:ascii="Arial" w:hAnsi="Arial" w:cs="Arial"/>
          <w:sz w:val="22"/>
          <w:szCs w:val="22"/>
        </w:rPr>
      </w:pPr>
    </w:p>
    <w:p w:rsidR="00F25C38" w:rsidRPr="006459B8" w:rsidRDefault="00F25C38" w:rsidP="00F25C38">
      <w:pPr>
        <w:jc w:val="both"/>
        <w:rPr>
          <w:rFonts w:ascii="Arial" w:hAnsi="Arial" w:cs="Arial"/>
          <w:sz w:val="22"/>
          <w:szCs w:val="22"/>
        </w:rPr>
      </w:pPr>
      <w:r w:rsidRPr="00F25C38">
        <w:rPr>
          <w:rFonts w:ascii="Arial" w:hAnsi="Arial" w:cs="Arial"/>
          <w:b/>
          <w:sz w:val="22"/>
          <w:szCs w:val="22"/>
        </w:rPr>
        <w:t>Service de conseil en matière d’innovation :</w:t>
      </w:r>
      <w:r>
        <w:rPr>
          <w:rFonts w:ascii="Arial" w:hAnsi="Arial" w:cs="Arial"/>
          <w:sz w:val="22"/>
          <w:szCs w:val="22"/>
        </w:rPr>
        <w:t xml:space="preserve"> le conseil, l’assistance et la formation dans les domaines du transfert de connaissances, de l’acquisition, de la protection et de l’exploitation d’actifs incorporels et de l’utilisation des normes et des règlementations qui les intègrent. Source : </w:t>
      </w:r>
      <w:r w:rsidRPr="006459B8">
        <w:rPr>
          <w:rFonts w:ascii="Arial" w:hAnsi="Arial" w:cs="Arial"/>
          <w:sz w:val="22"/>
          <w:szCs w:val="22"/>
        </w:rPr>
        <w:t>Règlement UE n°651/2014 dit RGEC art 2.</w:t>
      </w:r>
      <w:r>
        <w:rPr>
          <w:rFonts w:ascii="Arial" w:hAnsi="Arial" w:cs="Arial"/>
          <w:sz w:val="22"/>
          <w:szCs w:val="22"/>
        </w:rPr>
        <w:t>94</w:t>
      </w:r>
    </w:p>
    <w:p w:rsidR="006459B8" w:rsidRPr="006459B8" w:rsidRDefault="006459B8" w:rsidP="00CC5F48">
      <w:pPr>
        <w:jc w:val="both"/>
        <w:rPr>
          <w:rFonts w:ascii="Arial" w:hAnsi="Arial" w:cs="Arial"/>
          <w:sz w:val="22"/>
          <w:szCs w:val="22"/>
        </w:rPr>
      </w:pPr>
    </w:p>
    <w:p w:rsidR="00C641D8" w:rsidRDefault="00C71CF4" w:rsidP="00CC5F48">
      <w:pPr>
        <w:jc w:val="both"/>
        <w:rPr>
          <w:rFonts w:ascii="Arial" w:hAnsi="Arial" w:cs="Arial"/>
          <w:sz w:val="22"/>
          <w:szCs w:val="22"/>
        </w:rPr>
      </w:pPr>
      <w:r w:rsidRPr="006459B8">
        <w:rPr>
          <w:rFonts w:ascii="Arial" w:hAnsi="Arial" w:cs="Arial"/>
          <w:b/>
          <w:bCs/>
          <w:sz w:val="22"/>
          <w:shd w:val="clear" w:color="auto" w:fill="FFFFFF"/>
        </w:rPr>
        <w:t>Transfert</w:t>
      </w:r>
      <w:r w:rsidR="00C641D8" w:rsidRPr="006459B8">
        <w:rPr>
          <w:rFonts w:ascii="Arial" w:hAnsi="Arial" w:cs="Arial"/>
          <w:b/>
          <w:bCs/>
          <w:sz w:val="22"/>
          <w:szCs w:val="22"/>
          <w:shd w:val="clear" w:color="auto" w:fill="FFFFFF"/>
        </w:rPr>
        <w:t xml:space="preserve"> de </w:t>
      </w:r>
      <w:r w:rsidRPr="006459B8">
        <w:rPr>
          <w:rFonts w:ascii="Arial" w:hAnsi="Arial" w:cs="Arial"/>
          <w:b/>
          <w:bCs/>
          <w:sz w:val="22"/>
          <w:shd w:val="clear" w:color="auto" w:fill="FFFFFF"/>
        </w:rPr>
        <w:t>connaissances</w:t>
      </w:r>
      <w:r w:rsidR="00A86538">
        <w:rPr>
          <w:rFonts w:ascii="Arial" w:hAnsi="Arial" w:cs="Arial"/>
          <w:sz w:val="22"/>
          <w:shd w:val="clear" w:color="auto" w:fill="FFFFFF"/>
        </w:rPr>
        <w:t xml:space="preserve"> </w:t>
      </w:r>
      <w:r w:rsidR="00C641D8" w:rsidRPr="006459B8">
        <w:rPr>
          <w:rFonts w:ascii="Arial" w:hAnsi="Arial" w:cs="Arial"/>
          <w:sz w:val="22"/>
          <w:szCs w:val="22"/>
          <w:shd w:val="clear" w:color="auto" w:fill="FFFFFF"/>
        </w:rPr>
        <w:t>: le processus visant à acquérir, à collecter et à partager des connaissances explicites et implicites, y compris les qualifications et les compétences, dans des activités économiques et non économiques telles que les collaborations en matière de recherche, les services d’assistance-conseil, l’exploitation des licences, l’essaimage, les publications et la mobilité des chercheurs et d’autres personnels prenant part à ces activités. Outre les connaissances scientifiques et techniques, il inclut d’autres types de connaissances, notamment celles sur l’utilisation des normes et des réglementations qui les intègrent et sur les conditions de la vie réelle et les méthodes de l’innovation organisationnelle, ainsi que la gestion des connaissances relatives à l’identification, à l’acquisition, à la protection, à la défense et à l’expl</w:t>
      </w:r>
      <w:r w:rsidR="00B048C1" w:rsidRPr="006459B8">
        <w:rPr>
          <w:rFonts w:ascii="Arial" w:hAnsi="Arial" w:cs="Arial"/>
          <w:sz w:val="22"/>
          <w:shd w:val="clear" w:color="auto" w:fill="FFFFFF"/>
        </w:rPr>
        <w:t>oitation d’actifs incorporels. S</w:t>
      </w:r>
      <w:r w:rsidR="00C641D8" w:rsidRPr="006459B8">
        <w:rPr>
          <w:rFonts w:ascii="Arial" w:hAnsi="Arial" w:cs="Arial"/>
          <w:sz w:val="22"/>
          <w:szCs w:val="22"/>
          <w:shd w:val="clear" w:color="auto" w:fill="FFFFFF"/>
        </w:rPr>
        <w:t>ource</w:t>
      </w:r>
      <w:r w:rsidR="00B54615">
        <w:rPr>
          <w:rFonts w:ascii="Arial" w:hAnsi="Arial" w:cs="Arial"/>
          <w:sz w:val="22"/>
          <w:szCs w:val="22"/>
          <w:shd w:val="clear" w:color="auto" w:fill="FFFFFF"/>
        </w:rPr>
        <w:t> :</w:t>
      </w:r>
      <w:r w:rsidR="00B048C1" w:rsidRPr="006459B8">
        <w:rPr>
          <w:rFonts w:ascii="Arial" w:hAnsi="Arial" w:cs="Arial"/>
          <w:sz w:val="22"/>
        </w:rPr>
        <w:t xml:space="preserve"> Communication </w:t>
      </w:r>
      <w:r w:rsidR="00B048C1" w:rsidRPr="006459B8">
        <w:rPr>
          <w:rFonts w:ascii="Arial" w:hAnsi="Arial" w:cs="Arial"/>
          <w:sz w:val="22"/>
          <w:szCs w:val="22"/>
        </w:rPr>
        <w:t xml:space="preserve">2014/C 198/01 </w:t>
      </w:r>
      <w:r w:rsidR="00B048C1" w:rsidRPr="006459B8">
        <w:rPr>
          <w:rFonts w:ascii="Arial" w:hAnsi="Arial" w:cs="Arial"/>
          <w:sz w:val="22"/>
        </w:rPr>
        <w:t>dite C</w:t>
      </w:r>
      <w:r w:rsidR="00B048C1" w:rsidRPr="006459B8">
        <w:rPr>
          <w:rFonts w:ascii="Arial" w:hAnsi="Arial" w:cs="Arial"/>
          <w:sz w:val="22"/>
          <w:szCs w:val="22"/>
        </w:rPr>
        <w:t>ommunication RDI</w:t>
      </w:r>
      <w:r w:rsidR="00B048C1" w:rsidRPr="006459B8">
        <w:rPr>
          <w:rFonts w:ascii="Arial" w:hAnsi="Arial" w:cs="Arial"/>
          <w:sz w:val="22"/>
          <w:shd w:val="clear" w:color="auto" w:fill="FFFFFF"/>
        </w:rPr>
        <w:t xml:space="preserve"> </w:t>
      </w:r>
      <w:r w:rsidR="00B54615">
        <w:rPr>
          <w:rFonts w:ascii="Arial" w:hAnsi="Arial" w:cs="Arial"/>
          <w:sz w:val="22"/>
          <w:szCs w:val="22"/>
          <w:shd w:val="clear" w:color="auto" w:fill="FFFFFF"/>
        </w:rPr>
        <w:t>point</w:t>
      </w:r>
      <w:r w:rsidR="00C641D8" w:rsidRPr="006459B8">
        <w:rPr>
          <w:rFonts w:ascii="Arial" w:hAnsi="Arial" w:cs="Arial"/>
          <w:sz w:val="22"/>
          <w:szCs w:val="22"/>
          <w:shd w:val="clear" w:color="auto" w:fill="FFFFFF"/>
        </w:rPr>
        <w:t xml:space="preserve"> 1.3.v </w:t>
      </w:r>
      <w:r w:rsidR="00C641D8" w:rsidRPr="006459B8">
        <w:rPr>
          <w:rFonts w:ascii="Arial" w:hAnsi="Arial" w:cs="Arial"/>
          <w:sz w:val="22"/>
          <w:szCs w:val="22"/>
        </w:rPr>
        <w:t xml:space="preserve"> </w:t>
      </w:r>
    </w:p>
    <w:p w:rsidR="004902D7" w:rsidRDefault="004902D7" w:rsidP="004902D7">
      <w:pPr>
        <w:autoSpaceDE w:val="0"/>
        <w:autoSpaceDN w:val="0"/>
        <w:adjustRightInd w:val="0"/>
        <w:ind w:right="352"/>
        <w:jc w:val="both"/>
        <w:rPr>
          <w:rFonts w:ascii="Arial" w:hAnsi="Arial" w:cs="Arial"/>
          <w:sz w:val="20"/>
          <w:szCs w:val="20"/>
          <w:u w:val="single"/>
        </w:rPr>
      </w:pPr>
    </w:p>
    <w:p w:rsidR="005930ED" w:rsidRDefault="005930ED" w:rsidP="00CC5F48">
      <w:pPr>
        <w:jc w:val="both"/>
        <w:rPr>
          <w:rFonts w:ascii="Arial" w:hAnsi="Arial" w:cs="Arial"/>
          <w:sz w:val="22"/>
          <w:szCs w:val="22"/>
        </w:rPr>
      </w:pPr>
      <w:bookmarkStart w:id="0" w:name="_GoBack"/>
      <w:bookmarkEnd w:id="0"/>
    </w:p>
    <w:sectPr w:rsidR="005930E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5A2" w:rsidRDefault="004705A2" w:rsidP="004D0A6D">
      <w:r>
        <w:separator/>
      </w:r>
    </w:p>
  </w:endnote>
  <w:endnote w:type="continuationSeparator" w:id="0">
    <w:p w:rsidR="004705A2" w:rsidRDefault="004705A2" w:rsidP="004D0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LT Std 65 Medium">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2A" w:rsidRDefault="001E21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color w:val="3A67F8"/>
      </w:rPr>
      <w:id w:val="-610123237"/>
      <w:docPartObj>
        <w:docPartGallery w:val="Page Numbers (Bottom of Page)"/>
        <w:docPartUnique/>
      </w:docPartObj>
    </w:sdtPr>
    <w:sdtEndPr/>
    <w:sdtContent>
      <w:p w:rsidR="004D0A6D" w:rsidRPr="00E6073B" w:rsidRDefault="004D0A6D">
        <w:pPr>
          <w:pStyle w:val="Pieddepage"/>
          <w:jc w:val="right"/>
          <w:rPr>
            <w:b/>
            <w:color w:val="3A67F8"/>
          </w:rPr>
        </w:pPr>
        <w:r w:rsidRPr="00E6073B">
          <w:rPr>
            <w:b/>
            <w:color w:val="3A67F8"/>
          </w:rPr>
          <w:fldChar w:fldCharType="begin"/>
        </w:r>
        <w:r w:rsidRPr="00E6073B">
          <w:rPr>
            <w:b/>
            <w:color w:val="3A67F8"/>
          </w:rPr>
          <w:instrText>PAGE   \* MERGEFORMAT</w:instrText>
        </w:r>
        <w:r w:rsidRPr="00E6073B">
          <w:rPr>
            <w:b/>
            <w:color w:val="3A67F8"/>
          </w:rPr>
          <w:fldChar w:fldCharType="separate"/>
        </w:r>
        <w:r w:rsidR="002461DF">
          <w:rPr>
            <w:b/>
            <w:noProof/>
            <w:color w:val="3A67F8"/>
          </w:rPr>
          <w:t>3</w:t>
        </w:r>
        <w:r w:rsidRPr="00E6073B">
          <w:rPr>
            <w:b/>
            <w:color w:val="3A67F8"/>
          </w:rPr>
          <w:fldChar w:fldCharType="end"/>
        </w:r>
      </w:p>
    </w:sdtContent>
  </w:sdt>
  <w:p w:rsidR="004D0A6D" w:rsidRPr="00E6073B" w:rsidRDefault="001E212A">
    <w:pPr>
      <w:pStyle w:val="Pieddepage"/>
      <w:rPr>
        <w:rFonts w:ascii="Arial" w:hAnsi="Arial" w:cs="Arial"/>
        <w:b/>
        <w:color w:val="0C4EA2"/>
        <w:sz w:val="16"/>
        <w:szCs w:val="16"/>
      </w:rPr>
    </w:pPr>
    <w:r>
      <w:rPr>
        <w:rFonts w:ascii="Arial" w:hAnsi="Arial" w:cs="Arial"/>
        <w:b/>
        <w:color w:val="0C4EA2"/>
        <w:sz w:val="16"/>
        <w:szCs w:val="16"/>
      </w:rPr>
      <w:t>Le f</w:t>
    </w:r>
    <w:r w:rsidR="004D0A6D" w:rsidRPr="00E6073B">
      <w:rPr>
        <w:rFonts w:ascii="Arial" w:hAnsi="Arial" w:cs="Arial"/>
        <w:b/>
        <w:color w:val="0C4EA2"/>
        <w:sz w:val="16"/>
        <w:szCs w:val="16"/>
      </w:rPr>
      <w:t xml:space="preserve">inancement public des infrastructures de recherche – </w:t>
    </w:r>
    <w:r w:rsidR="00DA3E8B" w:rsidRPr="00E6073B">
      <w:rPr>
        <w:rFonts w:ascii="Arial" w:hAnsi="Arial" w:cs="Arial"/>
        <w:b/>
        <w:color w:val="0C4EA2"/>
        <w:sz w:val="16"/>
        <w:szCs w:val="16"/>
      </w:rPr>
      <w:t xml:space="preserve">Référence Juridique et </w:t>
    </w:r>
    <w:r w:rsidR="004D0A6D" w:rsidRPr="00E6073B">
      <w:rPr>
        <w:rFonts w:ascii="Arial" w:hAnsi="Arial" w:cs="Arial"/>
        <w:b/>
        <w:color w:val="0C4EA2"/>
        <w:sz w:val="16"/>
        <w:szCs w:val="16"/>
      </w:rPr>
      <w:t>Glossaire des définitions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2A" w:rsidRDefault="001E21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5A2" w:rsidRDefault="004705A2" w:rsidP="004D0A6D">
      <w:r>
        <w:separator/>
      </w:r>
    </w:p>
  </w:footnote>
  <w:footnote w:type="continuationSeparator" w:id="0">
    <w:p w:rsidR="004705A2" w:rsidRDefault="004705A2" w:rsidP="004D0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2A" w:rsidRDefault="001E21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2A" w:rsidRDefault="001E212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2A" w:rsidRDefault="001E21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0CB6"/>
    <w:multiLevelType w:val="hybridMultilevel"/>
    <w:tmpl w:val="8560567E"/>
    <w:lvl w:ilvl="0" w:tplc="1C86C94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C570F"/>
    <w:multiLevelType w:val="hybridMultilevel"/>
    <w:tmpl w:val="F49E0400"/>
    <w:lvl w:ilvl="0" w:tplc="F6B655CC">
      <w:start w:val="1"/>
      <w:numFmt w:val="decimal"/>
      <w:lvlText w:val="%1."/>
      <w:lvlJc w:val="left"/>
      <w:pPr>
        <w:ind w:left="389" w:hanging="360"/>
      </w:pPr>
      <w:rPr>
        <w:rFonts w:hint="default"/>
        <w:b/>
        <w:u w:val="single"/>
      </w:rPr>
    </w:lvl>
    <w:lvl w:ilvl="1" w:tplc="040C0019" w:tentative="1">
      <w:start w:val="1"/>
      <w:numFmt w:val="lowerLetter"/>
      <w:lvlText w:val="%2."/>
      <w:lvlJc w:val="left"/>
      <w:pPr>
        <w:ind w:left="1109" w:hanging="360"/>
      </w:pPr>
    </w:lvl>
    <w:lvl w:ilvl="2" w:tplc="040C001B" w:tentative="1">
      <w:start w:val="1"/>
      <w:numFmt w:val="lowerRoman"/>
      <w:lvlText w:val="%3."/>
      <w:lvlJc w:val="right"/>
      <w:pPr>
        <w:ind w:left="1829" w:hanging="180"/>
      </w:pPr>
    </w:lvl>
    <w:lvl w:ilvl="3" w:tplc="040C000F" w:tentative="1">
      <w:start w:val="1"/>
      <w:numFmt w:val="decimal"/>
      <w:lvlText w:val="%4."/>
      <w:lvlJc w:val="left"/>
      <w:pPr>
        <w:ind w:left="2549" w:hanging="360"/>
      </w:pPr>
    </w:lvl>
    <w:lvl w:ilvl="4" w:tplc="040C0019" w:tentative="1">
      <w:start w:val="1"/>
      <w:numFmt w:val="lowerLetter"/>
      <w:lvlText w:val="%5."/>
      <w:lvlJc w:val="left"/>
      <w:pPr>
        <w:ind w:left="3269" w:hanging="360"/>
      </w:pPr>
    </w:lvl>
    <w:lvl w:ilvl="5" w:tplc="040C001B" w:tentative="1">
      <w:start w:val="1"/>
      <w:numFmt w:val="lowerRoman"/>
      <w:lvlText w:val="%6."/>
      <w:lvlJc w:val="right"/>
      <w:pPr>
        <w:ind w:left="3989" w:hanging="180"/>
      </w:pPr>
    </w:lvl>
    <w:lvl w:ilvl="6" w:tplc="040C000F" w:tentative="1">
      <w:start w:val="1"/>
      <w:numFmt w:val="decimal"/>
      <w:lvlText w:val="%7."/>
      <w:lvlJc w:val="left"/>
      <w:pPr>
        <w:ind w:left="4709" w:hanging="360"/>
      </w:pPr>
    </w:lvl>
    <w:lvl w:ilvl="7" w:tplc="040C0019" w:tentative="1">
      <w:start w:val="1"/>
      <w:numFmt w:val="lowerLetter"/>
      <w:lvlText w:val="%8."/>
      <w:lvlJc w:val="left"/>
      <w:pPr>
        <w:ind w:left="5429" w:hanging="360"/>
      </w:pPr>
    </w:lvl>
    <w:lvl w:ilvl="8" w:tplc="040C001B" w:tentative="1">
      <w:start w:val="1"/>
      <w:numFmt w:val="lowerRoman"/>
      <w:lvlText w:val="%9."/>
      <w:lvlJc w:val="right"/>
      <w:pPr>
        <w:ind w:left="6149" w:hanging="180"/>
      </w:pPr>
    </w:lvl>
  </w:abstractNum>
  <w:abstractNum w:abstractNumId="2" w15:restartNumberingAfterBreak="0">
    <w:nsid w:val="0F8E7C69"/>
    <w:multiLevelType w:val="hybridMultilevel"/>
    <w:tmpl w:val="6360BB96"/>
    <w:lvl w:ilvl="0" w:tplc="8BAA8804">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8C6498"/>
    <w:multiLevelType w:val="hybridMultilevel"/>
    <w:tmpl w:val="6F126008"/>
    <w:lvl w:ilvl="0" w:tplc="251CF4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5B4814DA"/>
    <w:multiLevelType w:val="hybridMultilevel"/>
    <w:tmpl w:val="7B2A8FF4"/>
    <w:lvl w:ilvl="0" w:tplc="D77C6C8A">
      <w:start w:val="3"/>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3B14A0"/>
    <w:multiLevelType w:val="hybridMultilevel"/>
    <w:tmpl w:val="3B9676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8812D9E"/>
    <w:multiLevelType w:val="hybridMultilevel"/>
    <w:tmpl w:val="A68E3088"/>
    <w:lvl w:ilvl="0" w:tplc="1E6097F8">
      <w:start w:val="1"/>
      <w:numFmt w:val="bullet"/>
      <w:lvlText w:val="•"/>
      <w:lvlJc w:val="left"/>
      <w:pPr>
        <w:tabs>
          <w:tab w:val="num" w:pos="720"/>
        </w:tabs>
        <w:ind w:left="720" w:hanging="360"/>
      </w:pPr>
      <w:rPr>
        <w:rFonts w:ascii="Arial" w:hAnsi="Arial" w:hint="default"/>
      </w:rPr>
    </w:lvl>
    <w:lvl w:ilvl="1" w:tplc="B30A362A" w:tentative="1">
      <w:start w:val="1"/>
      <w:numFmt w:val="bullet"/>
      <w:lvlText w:val="•"/>
      <w:lvlJc w:val="left"/>
      <w:pPr>
        <w:tabs>
          <w:tab w:val="num" w:pos="1440"/>
        </w:tabs>
        <w:ind w:left="1440" w:hanging="360"/>
      </w:pPr>
      <w:rPr>
        <w:rFonts w:ascii="Arial" w:hAnsi="Arial" w:hint="default"/>
      </w:rPr>
    </w:lvl>
    <w:lvl w:ilvl="2" w:tplc="3B36F3A6" w:tentative="1">
      <w:start w:val="1"/>
      <w:numFmt w:val="bullet"/>
      <w:lvlText w:val="•"/>
      <w:lvlJc w:val="left"/>
      <w:pPr>
        <w:tabs>
          <w:tab w:val="num" w:pos="2160"/>
        </w:tabs>
        <w:ind w:left="2160" w:hanging="360"/>
      </w:pPr>
      <w:rPr>
        <w:rFonts w:ascii="Arial" w:hAnsi="Arial" w:hint="default"/>
      </w:rPr>
    </w:lvl>
    <w:lvl w:ilvl="3" w:tplc="B9C0B24C" w:tentative="1">
      <w:start w:val="1"/>
      <w:numFmt w:val="bullet"/>
      <w:lvlText w:val="•"/>
      <w:lvlJc w:val="left"/>
      <w:pPr>
        <w:tabs>
          <w:tab w:val="num" w:pos="2880"/>
        </w:tabs>
        <w:ind w:left="2880" w:hanging="360"/>
      </w:pPr>
      <w:rPr>
        <w:rFonts w:ascii="Arial" w:hAnsi="Arial" w:hint="default"/>
      </w:rPr>
    </w:lvl>
    <w:lvl w:ilvl="4" w:tplc="9EBC05AE" w:tentative="1">
      <w:start w:val="1"/>
      <w:numFmt w:val="bullet"/>
      <w:lvlText w:val="•"/>
      <w:lvlJc w:val="left"/>
      <w:pPr>
        <w:tabs>
          <w:tab w:val="num" w:pos="3600"/>
        </w:tabs>
        <w:ind w:left="3600" w:hanging="360"/>
      </w:pPr>
      <w:rPr>
        <w:rFonts w:ascii="Arial" w:hAnsi="Arial" w:hint="default"/>
      </w:rPr>
    </w:lvl>
    <w:lvl w:ilvl="5" w:tplc="4392B91E" w:tentative="1">
      <w:start w:val="1"/>
      <w:numFmt w:val="bullet"/>
      <w:lvlText w:val="•"/>
      <w:lvlJc w:val="left"/>
      <w:pPr>
        <w:tabs>
          <w:tab w:val="num" w:pos="4320"/>
        </w:tabs>
        <w:ind w:left="4320" w:hanging="360"/>
      </w:pPr>
      <w:rPr>
        <w:rFonts w:ascii="Arial" w:hAnsi="Arial" w:hint="default"/>
      </w:rPr>
    </w:lvl>
    <w:lvl w:ilvl="6" w:tplc="626EB4E4" w:tentative="1">
      <w:start w:val="1"/>
      <w:numFmt w:val="bullet"/>
      <w:lvlText w:val="•"/>
      <w:lvlJc w:val="left"/>
      <w:pPr>
        <w:tabs>
          <w:tab w:val="num" w:pos="5040"/>
        </w:tabs>
        <w:ind w:left="5040" w:hanging="360"/>
      </w:pPr>
      <w:rPr>
        <w:rFonts w:ascii="Arial" w:hAnsi="Arial" w:hint="default"/>
      </w:rPr>
    </w:lvl>
    <w:lvl w:ilvl="7" w:tplc="1478C5BC" w:tentative="1">
      <w:start w:val="1"/>
      <w:numFmt w:val="bullet"/>
      <w:lvlText w:val="•"/>
      <w:lvlJc w:val="left"/>
      <w:pPr>
        <w:tabs>
          <w:tab w:val="num" w:pos="5760"/>
        </w:tabs>
        <w:ind w:left="5760" w:hanging="360"/>
      </w:pPr>
      <w:rPr>
        <w:rFonts w:ascii="Arial" w:hAnsi="Arial" w:hint="default"/>
      </w:rPr>
    </w:lvl>
    <w:lvl w:ilvl="8" w:tplc="4FC24F0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9C12464"/>
    <w:multiLevelType w:val="hybridMultilevel"/>
    <w:tmpl w:val="4D2630DA"/>
    <w:lvl w:ilvl="0" w:tplc="7C02E858">
      <w:start w:val="1"/>
      <w:numFmt w:val="decimal"/>
      <w:lvlText w:val="%1."/>
      <w:lvlJc w:val="left"/>
      <w:pPr>
        <w:ind w:left="720" w:hanging="360"/>
      </w:pPr>
      <w:rPr>
        <w:rFonts w:hint="default"/>
        <w:b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4"/>
  </w:num>
  <w:num w:numId="4">
    <w:abstractNumId w:val="4"/>
  </w:num>
  <w:num w:numId="5">
    <w:abstractNumId w:val="4"/>
  </w:num>
  <w:num w:numId="6">
    <w:abstractNumId w:val="3"/>
  </w:num>
  <w:num w:numId="7">
    <w:abstractNumId w:val="7"/>
  </w:num>
  <w:num w:numId="8">
    <w:abstractNumId w:val="4"/>
  </w:num>
  <w:num w:numId="9">
    <w:abstractNumId w:val="2"/>
  </w:num>
  <w:num w:numId="10">
    <w:abstractNumId w:val="5"/>
  </w:num>
  <w:num w:numId="11">
    <w:abstractNumId w:val="0"/>
  </w:num>
  <w:num w:numId="12">
    <w:abstractNumId w:val="8"/>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A4"/>
    <w:rsid w:val="0004642F"/>
    <w:rsid w:val="0005728A"/>
    <w:rsid w:val="000D41D9"/>
    <w:rsid w:val="000D7877"/>
    <w:rsid w:val="0014346B"/>
    <w:rsid w:val="00180EB7"/>
    <w:rsid w:val="001E212A"/>
    <w:rsid w:val="0022794D"/>
    <w:rsid w:val="002461DF"/>
    <w:rsid w:val="00282E7C"/>
    <w:rsid w:val="003646FD"/>
    <w:rsid w:val="003A13BF"/>
    <w:rsid w:val="004705A2"/>
    <w:rsid w:val="004902D7"/>
    <w:rsid w:val="00491D63"/>
    <w:rsid w:val="004A6780"/>
    <w:rsid w:val="004C231A"/>
    <w:rsid w:val="004D0A6D"/>
    <w:rsid w:val="00531C70"/>
    <w:rsid w:val="005930ED"/>
    <w:rsid w:val="006459B8"/>
    <w:rsid w:val="00647BD4"/>
    <w:rsid w:val="00647D0A"/>
    <w:rsid w:val="00653297"/>
    <w:rsid w:val="00691E31"/>
    <w:rsid w:val="0069623B"/>
    <w:rsid w:val="006B23E6"/>
    <w:rsid w:val="006F00E3"/>
    <w:rsid w:val="00727D5C"/>
    <w:rsid w:val="007B35EA"/>
    <w:rsid w:val="008356A4"/>
    <w:rsid w:val="00936261"/>
    <w:rsid w:val="009754F9"/>
    <w:rsid w:val="00A10940"/>
    <w:rsid w:val="00A15199"/>
    <w:rsid w:val="00A3733A"/>
    <w:rsid w:val="00A86538"/>
    <w:rsid w:val="00AB63A8"/>
    <w:rsid w:val="00B048C1"/>
    <w:rsid w:val="00B54615"/>
    <w:rsid w:val="00B8580E"/>
    <w:rsid w:val="00BB1200"/>
    <w:rsid w:val="00BE7ED2"/>
    <w:rsid w:val="00C641D8"/>
    <w:rsid w:val="00C71CF4"/>
    <w:rsid w:val="00C74CF1"/>
    <w:rsid w:val="00CC5F48"/>
    <w:rsid w:val="00DA3E8B"/>
    <w:rsid w:val="00DA418C"/>
    <w:rsid w:val="00E6073B"/>
    <w:rsid w:val="00E857D1"/>
    <w:rsid w:val="00E97ED7"/>
    <w:rsid w:val="00EE3E30"/>
    <w:rsid w:val="00F25C38"/>
    <w:rsid w:val="00F35A16"/>
    <w:rsid w:val="00F729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8F3AF"/>
  <w15:chartTrackingRefBased/>
  <w15:docId w15:val="{FA965859-9A11-4CC8-AAD9-D8957673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31A"/>
    <w:pPr>
      <w:spacing w:before="0" w:line="240" w:lineRule="auto"/>
      <w:jc w:val="left"/>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jc w:val="both"/>
      <w:outlineLvl w:val="0"/>
    </w:pPr>
    <w:rPr>
      <w:rFonts w:ascii="Arial" w:hAnsi="Arial" w:cs="Arial"/>
      <w:b/>
      <w:bCs/>
      <w:caps/>
    </w:rPr>
  </w:style>
  <w:style w:type="paragraph" w:styleId="Titre2">
    <w:name w:val="heading 2"/>
    <w:basedOn w:val="Normal"/>
    <w:next w:val="Normal"/>
    <w:link w:val="Titre2Car"/>
    <w:qFormat/>
    <w:rsid w:val="004A6780"/>
    <w:pPr>
      <w:keepLines/>
      <w:numPr>
        <w:ilvl w:val="1"/>
        <w:numId w:val="5"/>
      </w:numPr>
      <w:spacing w:before="240"/>
      <w:jc w:val="both"/>
      <w:outlineLvl w:val="1"/>
    </w:pPr>
    <w:rPr>
      <w:rFonts w:ascii="Arial" w:hAnsi="Arial" w:cs="Arial"/>
      <w:b/>
      <w:bCs/>
    </w:rPr>
  </w:style>
  <w:style w:type="paragraph" w:styleId="Titre3">
    <w:name w:val="heading 3"/>
    <w:basedOn w:val="Normal"/>
    <w:next w:val="Normal"/>
    <w:link w:val="Titre3Car"/>
    <w:qFormat/>
    <w:rsid w:val="004A6780"/>
    <w:pPr>
      <w:keepLines/>
      <w:numPr>
        <w:ilvl w:val="2"/>
        <w:numId w:val="5"/>
      </w:numPr>
      <w:spacing w:before="240"/>
      <w:jc w:val="both"/>
      <w:outlineLvl w:val="2"/>
    </w:pPr>
    <w:rPr>
      <w:rFonts w:ascii="Arial" w:hAnsi="Arial" w:cs="Arial"/>
      <w:b/>
      <w:bCs/>
      <w:i/>
      <w:iCs/>
    </w:rPr>
  </w:style>
  <w:style w:type="paragraph" w:styleId="Titre4">
    <w:name w:val="heading 4"/>
    <w:basedOn w:val="Normal"/>
    <w:next w:val="Normal"/>
    <w:link w:val="Titre4Car"/>
    <w:qFormat/>
    <w:rsid w:val="004A6780"/>
    <w:pPr>
      <w:keepLines/>
      <w:numPr>
        <w:ilvl w:val="3"/>
        <w:numId w:val="5"/>
      </w:numPr>
      <w:spacing w:before="120" w:after="120"/>
      <w:jc w:val="both"/>
      <w:outlineLvl w:val="3"/>
    </w:pPr>
    <w:rPr>
      <w:rFonts w:ascii="Arial" w:hAnsi="Arial" w:cs="Arial"/>
      <w:b/>
      <w:bCs/>
      <w:sz w:val="20"/>
      <w:szCs w:val="20"/>
      <w:u w:val="single"/>
    </w:rPr>
  </w:style>
  <w:style w:type="paragraph" w:styleId="Titre5">
    <w:name w:val="heading 5"/>
    <w:basedOn w:val="Normal"/>
    <w:next w:val="Normal"/>
    <w:link w:val="Titre5Car"/>
    <w:qFormat/>
    <w:rsid w:val="004A6780"/>
    <w:pPr>
      <w:keepLines/>
      <w:numPr>
        <w:ilvl w:val="4"/>
        <w:numId w:val="5"/>
      </w:numPr>
      <w:spacing w:before="240" w:after="60"/>
      <w:jc w:val="both"/>
      <w:outlineLvl w:val="4"/>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character" w:customStyle="1" w:styleId="super">
    <w:name w:val="super"/>
    <w:basedOn w:val="Policepardfaut"/>
    <w:rsid w:val="00C641D8"/>
    <w:rPr>
      <w:sz w:val="17"/>
      <w:szCs w:val="17"/>
      <w:vertAlign w:val="superscript"/>
    </w:rPr>
  </w:style>
  <w:style w:type="character" w:customStyle="1" w:styleId="bold">
    <w:name w:val="bold"/>
    <w:basedOn w:val="Policepardfaut"/>
    <w:rsid w:val="00C641D8"/>
    <w:rPr>
      <w:b/>
      <w:bCs/>
    </w:rPr>
  </w:style>
  <w:style w:type="paragraph" w:customStyle="1" w:styleId="Normal1">
    <w:name w:val="Normal1"/>
    <w:basedOn w:val="Normal"/>
    <w:rsid w:val="004C231A"/>
    <w:pPr>
      <w:spacing w:before="100" w:beforeAutospacing="1" w:after="100" w:afterAutospacing="1"/>
    </w:pPr>
  </w:style>
  <w:style w:type="character" w:styleId="Lienhypertexte">
    <w:name w:val="Hyperlink"/>
    <w:basedOn w:val="Policepardfaut"/>
    <w:uiPriority w:val="99"/>
    <w:semiHidden/>
    <w:unhideWhenUsed/>
    <w:rsid w:val="004C231A"/>
    <w:rPr>
      <w:color w:val="0000FF"/>
      <w:u w:val="single"/>
    </w:rPr>
  </w:style>
  <w:style w:type="paragraph" w:styleId="Paragraphedeliste">
    <w:name w:val="List Paragraph"/>
    <w:basedOn w:val="Normal"/>
    <w:link w:val="ParagraphedelisteCar"/>
    <w:uiPriority w:val="34"/>
    <w:qFormat/>
    <w:rsid w:val="006459B8"/>
    <w:pPr>
      <w:ind w:left="720"/>
      <w:contextualSpacing/>
    </w:pPr>
  </w:style>
  <w:style w:type="paragraph" w:styleId="En-tte">
    <w:name w:val="header"/>
    <w:basedOn w:val="Normal"/>
    <w:link w:val="En-tteCar"/>
    <w:uiPriority w:val="99"/>
    <w:unhideWhenUsed/>
    <w:rsid w:val="004D0A6D"/>
    <w:pPr>
      <w:tabs>
        <w:tab w:val="center" w:pos="4536"/>
        <w:tab w:val="right" w:pos="9072"/>
      </w:tabs>
    </w:pPr>
  </w:style>
  <w:style w:type="character" w:customStyle="1" w:styleId="En-tteCar">
    <w:name w:val="En-tête Car"/>
    <w:basedOn w:val="Policepardfaut"/>
    <w:link w:val="En-tte"/>
    <w:uiPriority w:val="99"/>
    <w:rsid w:val="004D0A6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D0A6D"/>
    <w:pPr>
      <w:tabs>
        <w:tab w:val="center" w:pos="4536"/>
        <w:tab w:val="right" w:pos="9072"/>
      </w:tabs>
    </w:pPr>
  </w:style>
  <w:style w:type="character" w:customStyle="1" w:styleId="PieddepageCar">
    <w:name w:val="Pied de page Car"/>
    <w:basedOn w:val="Policepardfaut"/>
    <w:link w:val="Pieddepage"/>
    <w:uiPriority w:val="99"/>
    <w:rsid w:val="004D0A6D"/>
    <w:rPr>
      <w:rFonts w:ascii="Times New Roman" w:eastAsia="Times New Roman" w:hAnsi="Times New Roman" w:cs="Times New Roman"/>
      <w:sz w:val="24"/>
      <w:szCs w:val="24"/>
      <w:lang w:eastAsia="fr-FR"/>
    </w:rPr>
  </w:style>
  <w:style w:type="character" w:customStyle="1" w:styleId="ParagraphedelisteCar">
    <w:name w:val="Paragraphe de liste Car"/>
    <w:basedOn w:val="Policepardfaut"/>
    <w:link w:val="Paragraphedeliste"/>
    <w:uiPriority w:val="34"/>
    <w:locked/>
    <w:rsid w:val="004902D7"/>
    <w:rPr>
      <w:rFonts w:ascii="Times New Roman" w:eastAsia="Times New Roman" w:hAnsi="Times New Roman" w:cs="Times New Roman"/>
      <w:sz w:val="24"/>
      <w:szCs w:val="24"/>
      <w:lang w:eastAsia="fr-FR"/>
    </w:rPr>
  </w:style>
  <w:style w:type="table" w:styleId="Grilledutableau">
    <w:name w:val="Table Grid"/>
    <w:basedOn w:val="TableauNormal"/>
    <w:uiPriority w:val="39"/>
    <w:rsid w:val="004902D7"/>
    <w:pPr>
      <w:spacing w:before="0" w:line="240" w:lineRule="auto"/>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grseq-1">
    <w:name w:val="ti-grseq-1"/>
    <w:basedOn w:val="Normal"/>
    <w:rsid w:val="004902D7"/>
    <w:pPr>
      <w:spacing w:before="100" w:beforeAutospacing="1" w:after="100" w:afterAutospacing="1"/>
    </w:pPr>
  </w:style>
  <w:style w:type="character" w:customStyle="1" w:styleId="italic">
    <w:name w:val="italic"/>
    <w:basedOn w:val="Policepardfaut"/>
    <w:rsid w:val="004902D7"/>
  </w:style>
  <w:style w:type="paragraph" w:styleId="Textedebulles">
    <w:name w:val="Balloon Text"/>
    <w:basedOn w:val="Normal"/>
    <w:link w:val="TextedebullesCar"/>
    <w:uiPriority w:val="99"/>
    <w:semiHidden/>
    <w:unhideWhenUsed/>
    <w:rsid w:val="00727D5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7D5C"/>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986243">
      <w:bodyDiv w:val="1"/>
      <w:marLeft w:val="0"/>
      <w:marRight w:val="0"/>
      <w:marTop w:val="0"/>
      <w:marBottom w:val="0"/>
      <w:divBdr>
        <w:top w:val="none" w:sz="0" w:space="0" w:color="auto"/>
        <w:left w:val="none" w:sz="0" w:space="0" w:color="auto"/>
        <w:bottom w:val="none" w:sz="0" w:space="0" w:color="auto"/>
        <w:right w:val="none" w:sz="0" w:space="0" w:color="auto"/>
      </w:divBdr>
      <w:divsChild>
        <w:div w:id="265385388">
          <w:marLeft w:val="547"/>
          <w:marRight w:val="0"/>
          <w:marTop w:val="86"/>
          <w:marBottom w:val="0"/>
          <w:divBdr>
            <w:top w:val="none" w:sz="0" w:space="0" w:color="auto"/>
            <w:left w:val="none" w:sz="0" w:space="0" w:color="auto"/>
            <w:bottom w:val="none" w:sz="0" w:space="0" w:color="auto"/>
            <w:right w:val="none" w:sz="0" w:space="0" w:color="auto"/>
          </w:divBdr>
        </w:div>
        <w:div w:id="1969165436">
          <w:marLeft w:val="547"/>
          <w:marRight w:val="0"/>
          <w:marTop w:val="86"/>
          <w:marBottom w:val="0"/>
          <w:divBdr>
            <w:top w:val="none" w:sz="0" w:space="0" w:color="auto"/>
            <w:left w:val="none" w:sz="0" w:space="0" w:color="auto"/>
            <w:bottom w:val="none" w:sz="0" w:space="0" w:color="auto"/>
            <w:right w:val="none" w:sz="0" w:space="0" w:color="auto"/>
          </w:divBdr>
        </w:div>
        <w:div w:id="2045593120">
          <w:marLeft w:val="547"/>
          <w:marRight w:val="0"/>
          <w:marTop w:val="86"/>
          <w:marBottom w:val="0"/>
          <w:divBdr>
            <w:top w:val="none" w:sz="0" w:space="0" w:color="auto"/>
            <w:left w:val="none" w:sz="0" w:space="0" w:color="auto"/>
            <w:bottom w:val="none" w:sz="0" w:space="0" w:color="auto"/>
            <w:right w:val="none" w:sz="0" w:space="0" w:color="auto"/>
          </w:divBdr>
        </w:div>
        <w:div w:id="478811251">
          <w:marLeft w:val="547"/>
          <w:marRight w:val="0"/>
          <w:marTop w:val="86"/>
          <w:marBottom w:val="0"/>
          <w:divBdr>
            <w:top w:val="none" w:sz="0" w:space="0" w:color="auto"/>
            <w:left w:val="none" w:sz="0" w:space="0" w:color="auto"/>
            <w:bottom w:val="none" w:sz="0" w:space="0" w:color="auto"/>
            <w:right w:val="none" w:sz="0" w:space="0" w:color="auto"/>
          </w:divBdr>
        </w:div>
      </w:divsChild>
    </w:div>
    <w:div w:id="146573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4</Pages>
  <Words>2014</Words>
  <Characters>11083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Conseil Régional Pocence Alpes Côte D'Azur</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NOBIO Isabelle</dc:creator>
  <cp:keywords/>
  <dc:description/>
  <cp:lastModifiedBy>NOBIO Isabelle</cp:lastModifiedBy>
  <cp:revision>40</cp:revision>
  <cp:lastPrinted>2018-11-28T16:23:00Z</cp:lastPrinted>
  <dcterms:created xsi:type="dcterms:W3CDTF">2018-10-16T10:39:00Z</dcterms:created>
  <dcterms:modified xsi:type="dcterms:W3CDTF">2018-11-30T16:29:00Z</dcterms:modified>
</cp:coreProperties>
</file>